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772"/>
      </w:tblGrid>
      <w:tr w:rsidR="00DC7EEB" w:rsidRPr="00DC7EEB" w:rsidTr="00C211AD">
        <w:tc>
          <w:tcPr>
            <w:tcW w:w="4308" w:type="dxa"/>
            <w:tcBorders>
              <w:top w:val="nil"/>
              <w:left w:val="nil"/>
              <w:bottom w:val="nil"/>
              <w:right w:val="nil"/>
            </w:tcBorders>
          </w:tcPr>
          <w:p w:rsidR="00A02BF1" w:rsidRPr="00DC7EEB" w:rsidRDefault="00A02BF1" w:rsidP="00C211AD">
            <w:pPr>
              <w:jc w:val="center"/>
            </w:pPr>
            <w:r w:rsidRPr="00DC7EEB">
              <w:t>QUỐC HỘI KHÓA XV</w:t>
            </w:r>
          </w:p>
          <w:p w:rsidR="00A02BF1" w:rsidRPr="00DC7EEB" w:rsidRDefault="00A02BF1" w:rsidP="00C211AD">
            <w:pPr>
              <w:jc w:val="center"/>
              <w:rPr>
                <w:b/>
              </w:rPr>
            </w:pPr>
            <w:r w:rsidRPr="00DC7EEB">
              <w:rPr>
                <w:b/>
              </w:rPr>
              <w:t>ỦY BAN TÀI CHÍNH, NGÂN SÁCH</w:t>
            </w:r>
          </w:p>
          <w:p w:rsidR="00A02BF1" w:rsidRPr="00DC7EEB" w:rsidRDefault="00A02BF1" w:rsidP="00C211AD">
            <w:pPr>
              <w:jc w:val="center"/>
              <w:rPr>
                <w:b/>
              </w:rPr>
            </w:pPr>
            <w:r w:rsidRPr="00DC7EEB">
              <w:rPr>
                <w:noProof/>
                <w:lang w:val="en-GB" w:eastAsia="en-GB"/>
              </w:rPr>
              <mc:AlternateContent>
                <mc:Choice Requires="wps">
                  <w:drawing>
                    <wp:anchor distT="0" distB="0" distL="114300" distR="114300" simplePos="0" relativeHeight="251660288" behindDoc="0" locked="0" layoutInCell="1" allowOverlap="1" wp14:anchorId="2B624F3F" wp14:editId="7586DCAE">
                      <wp:simplePos x="0" y="0"/>
                      <wp:positionH relativeFrom="column">
                        <wp:posOffset>738505</wp:posOffset>
                      </wp:positionH>
                      <wp:positionV relativeFrom="paragraph">
                        <wp:posOffset>15240</wp:posOffset>
                      </wp:positionV>
                      <wp:extent cx="11341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4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13E8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2pt" to="147.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OT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">
                      <o:lock v:ext="edit" shapetype="f"/>
                    </v:line>
                  </w:pict>
                </mc:Fallback>
              </mc:AlternateContent>
            </w:r>
          </w:p>
          <w:p w:rsidR="00A02BF1" w:rsidRPr="00DC7EEB" w:rsidRDefault="00A02BF1" w:rsidP="00C211AD">
            <w:pPr>
              <w:jc w:val="center"/>
              <w:rPr>
                <w:sz w:val="26"/>
                <w:szCs w:val="26"/>
              </w:rPr>
            </w:pPr>
            <w:r w:rsidRPr="00DC7EEB">
              <w:rPr>
                <w:sz w:val="26"/>
                <w:szCs w:val="26"/>
              </w:rPr>
              <w:t>Số: 2684/BC-UBTCNS15</w:t>
            </w:r>
          </w:p>
          <w:p w:rsidR="00A02BF1" w:rsidRPr="00DC7EEB" w:rsidRDefault="00A02BF1" w:rsidP="00C211AD">
            <w:pPr>
              <w:jc w:val="center"/>
              <w:rPr>
                <w:b/>
                <w:i/>
                <w:sz w:val="26"/>
                <w:szCs w:val="26"/>
              </w:rPr>
            </w:pPr>
          </w:p>
        </w:tc>
        <w:tc>
          <w:tcPr>
            <w:tcW w:w="5772" w:type="dxa"/>
            <w:tcBorders>
              <w:top w:val="nil"/>
              <w:left w:val="nil"/>
              <w:bottom w:val="nil"/>
              <w:right w:val="nil"/>
            </w:tcBorders>
          </w:tcPr>
          <w:p w:rsidR="00A02BF1" w:rsidRPr="00DC7EEB" w:rsidRDefault="00A02BF1" w:rsidP="00C211AD">
            <w:pPr>
              <w:jc w:val="center"/>
              <w:rPr>
                <w:b/>
              </w:rPr>
            </w:pPr>
            <w:r w:rsidRPr="00DC7EEB">
              <w:rPr>
                <w:b/>
              </w:rPr>
              <w:t>CỘNG HÒA XÃ HỘI CHỦ NGHĨA VIỆT NAM</w:t>
            </w:r>
          </w:p>
          <w:p w:rsidR="00A02BF1" w:rsidRPr="00DC7EEB" w:rsidRDefault="00A02BF1" w:rsidP="00C211AD">
            <w:pPr>
              <w:jc w:val="center"/>
              <w:rPr>
                <w:b/>
                <w:sz w:val="26"/>
                <w:szCs w:val="26"/>
              </w:rPr>
            </w:pPr>
            <w:r w:rsidRPr="00DC7EEB">
              <w:rPr>
                <w:b/>
                <w:sz w:val="26"/>
                <w:szCs w:val="26"/>
              </w:rPr>
              <w:t>Độc lập - Tự do - Hạnh phúc</w:t>
            </w:r>
          </w:p>
          <w:p w:rsidR="00A02BF1" w:rsidRPr="00DC7EEB" w:rsidRDefault="00A02BF1" w:rsidP="00C211AD">
            <w:pPr>
              <w:tabs>
                <w:tab w:val="left" w:pos="390"/>
                <w:tab w:val="center" w:pos="2778"/>
              </w:tabs>
              <w:rPr>
                <w:b/>
              </w:rPr>
            </w:pPr>
            <w:r w:rsidRPr="00DC7EEB">
              <w:rPr>
                <w:noProof/>
                <w:lang w:val="en-GB" w:eastAsia="en-GB"/>
              </w:rPr>
              <mc:AlternateContent>
                <mc:Choice Requires="wps">
                  <w:drawing>
                    <wp:anchor distT="0" distB="0" distL="114300" distR="114300" simplePos="0" relativeHeight="251659264" behindDoc="0" locked="0" layoutInCell="1" allowOverlap="1" wp14:anchorId="51CCF346" wp14:editId="3E9DAC35">
                      <wp:simplePos x="0" y="0"/>
                      <wp:positionH relativeFrom="column">
                        <wp:posOffset>955040</wp:posOffset>
                      </wp:positionH>
                      <wp:positionV relativeFrom="paragraph">
                        <wp:posOffset>51435</wp:posOffset>
                      </wp:positionV>
                      <wp:extent cx="1664970" cy="0"/>
                      <wp:effectExtent l="10160"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7B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4.05pt" to="206.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4s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">
                      <o:lock v:ext="edit" shapetype="f"/>
                    </v:line>
                  </w:pict>
                </mc:Fallback>
              </mc:AlternateContent>
            </w:r>
            <w:r w:rsidRPr="00DC7EEB">
              <w:rPr>
                <w:b/>
              </w:rPr>
              <w:tab/>
            </w:r>
            <w:r w:rsidRPr="00DC7EEB">
              <w:rPr>
                <w:b/>
              </w:rPr>
              <w:tab/>
            </w:r>
          </w:p>
          <w:p w:rsidR="00A02BF1" w:rsidRPr="00DC7EEB" w:rsidRDefault="00A02BF1" w:rsidP="00C211AD">
            <w:pPr>
              <w:jc w:val="center"/>
              <w:rPr>
                <w:i/>
                <w:sz w:val="28"/>
                <w:szCs w:val="28"/>
              </w:rPr>
            </w:pPr>
            <w:r w:rsidRPr="00DC7EEB">
              <w:rPr>
                <w:i/>
                <w:sz w:val="28"/>
                <w:szCs w:val="28"/>
              </w:rPr>
              <w:t xml:space="preserve">         Hà Nội, ngày 27 tháng 11 năm 2024</w:t>
            </w:r>
          </w:p>
        </w:tc>
      </w:tr>
    </w:tbl>
    <w:p w:rsidR="00A02BF1" w:rsidRPr="00DC7EEB" w:rsidRDefault="00A02BF1" w:rsidP="00A02BF1">
      <w:pPr>
        <w:jc w:val="center"/>
        <w:rPr>
          <w:b/>
          <w:sz w:val="28"/>
          <w:szCs w:val="28"/>
        </w:rPr>
      </w:pPr>
    </w:p>
    <w:p w:rsidR="00A02BF1" w:rsidRPr="00DC7EEB" w:rsidRDefault="00A02BF1" w:rsidP="00A02BF1">
      <w:pPr>
        <w:jc w:val="center"/>
        <w:rPr>
          <w:b/>
          <w:sz w:val="28"/>
          <w:szCs w:val="28"/>
        </w:rPr>
      </w:pPr>
    </w:p>
    <w:p w:rsidR="00A02BF1" w:rsidRPr="00DC7EEB" w:rsidRDefault="00A02BF1" w:rsidP="00A02BF1">
      <w:pPr>
        <w:jc w:val="center"/>
        <w:rPr>
          <w:b/>
          <w:sz w:val="28"/>
          <w:szCs w:val="28"/>
        </w:rPr>
      </w:pPr>
      <w:r w:rsidRPr="00DC7EEB">
        <w:rPr>
          <w:b/>
          <w:sz w:val="28"/>
          <w:szCs w:val="28"/>
        </w:rPr>
        <w:t xml:space="preserve">BÁO CÁO </w:t>
      </w:r>
    </w:p>
    <w:p w:rsidR="00A02BF1" w:rsidRPr="00DC7EEB" w:rsidRDefault="00A02BF1" w:rsidP="00A02BF1">
      <w:pPr>
        <w:jc w:val="center"/>
        <w:rPr>
          <w:b/>
          <w:noProof/>
          <w:sz w:val="28"/>
          <w:szCs w:val="28"/>
        </w:rPr>
      </w:pPr>
      <w:r w:rsidRPr="00DC7EEB">
        <w:rPr>
          <w:b/>
          <w:noProof/>
          <w:sz w:val="28"/>
          <w:szCs w:val="28"/>
        </w:rPr>
        <w:t xml:space="preserve">Thẩm tra về Dự án Nghị quyết của Quốc hội </w:t>
      </w:r>
    </w:p>
    <w:p w:rsidR="00A02BF1" w:rsidRPr="00DC7EEB" w:rsidRDefault="00A02BF1" w:rsidP="00A02BF1">
      <w:pPr>
        <w:jc w:val="center"/>
        <w:rPr>
          <w:b/>
          <w:noProof/>
          <w:sz w:val="28"/>
          <w:szCs w:val="28"/>
        </w:rPr>
      </w:pPr>
      <w:r w:rsidRPr="00DC7EEB">
        <w:rPr>
          <w:b/>
          <w:noProof/>
          <w:sz w:val="28"/>
          <w:szCs w:val="28"/>
        </w:rPr>
        <w:t>về giảm thuế giá trị gia tăng</w:t>
      </w:r>
    </w:p>
    <w:p w:rsidR="00A02BF1" w:rsidRPr="00DC7EEB" w:rsidRDefault="00A02BF1" w:rsidP="00A02BF1">
      <w:pPr>
        <w:spacing w:before="120" w:after="120" w:line="360" w:lineRule="exact"/>
        <w:rPr>
          <w:sz w:val="28"/>
          <w:szCs w:val="28"/>
        </w:rPr>
      </w:pPr>
      <w:r w:rsidRPr="00DC7EEB">
        <w:rPr>
          <w:noProof/>
          <w:lang w:val="en-GB" w:eastAsia="en-GB"/>
        </w:rPr>
        <mc:AlternateContent>
          <mc:Choice Requires="wps">
            <w:drawing>
              <wp:anchor distT="0" distB="0" distL="114300" distR="114300" simplePos="0" relativeHeight="251661312" behindDoc="0" locked="0" layoutInCell="1" allowOverlap="1" wp14:anchorId="41E436AF" wp14:editId="6B12B1B6">
                <wp:simplePos x="0" y="0"/>
                <wp:positionH relativeFrom="margin">
                  <wp:posOffset>2626995</wp:posOffset>
                </wp:positionH>
                <wp:positionV relativeFrom="paragraph">
                  <wp:posOffset>83185</wp:posOffset>
                </wp:positionV>
                <wp:extent cx="609600" cy="0"/>
                <wp:effectExtent l="11430" t="7620" r="762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46A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85pt,6.55pt" to="254.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PD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">
                <o:lock v:ext="edit" shapetype="f"/>
                <w10:wrap anchorx="margin"/>
              </v:line>
            </w:pict>
          </mc:Fallback>
        </mc:AlternateContent>
      </w:r>
    </w:p>
    <w:p w:rsidR="00A02BF1" w:rsidRPr="00DC7EEB" w:rsidRDefault="00A02BF1" w:rsidP="00A02BF1">
      <w:pPr>
        <w:spacing w:before="120" w:after="120" w:line="360" w:lineRule="exact"/>
        <w:jc w:val="center"/>
        <w:rPr>
          <w:bCs/>
          <w:sz w:val="28"/>
          <w:szCs w:val="28"/>
          <w:lang w:val="nl-NL"/>
        </w:rPr>
      </w:pPr>
      <w:r w:rsidRPr="00DC7EEB">
        <w:rPr>
          <w:sz w:val="28"/>
          <w:szCs w:val="28"/>
        </w:rPr>
        <w:t xml:space="preserve">Kính gửi: </w:t>
      </w:r>
      <w:r w:rsidRPr="00DC7EEB">
        <w:rPr>
          <w:bCs/>
          <w:sz w:val="28"/>
          <w:szCs w:val="28"/>
          <w:lang w:val="nl-NL"/>
        </w:rPr>
        <w:t>Các vị đại biểu Quốc hội,</w:t>
      </w:r>
    </w:p>
    <w:p w:rsidR="00A02BF1" w:rsidRPr="00DC7EEB" w:rsidRDefault="00A02BF1" w:rsidP="00A02BF1">
      <w:pPr>
        <w:spacing w:before="120" w:line="360" w:lineRule="exact"/>
        <w:jc w:val="center"/>
        <w:rPr>
          <w:sz w:val="28"/>
          <w:szCs w:val="28"/>
        </w:rPr>
      </w:pPr>
    </w:p>
    <w:p w:rsidR="00A02BF1" w:rsidRPr="00DC7EEB" w:rsidRDefault="00A02BF1" w:rsidP="00A02BF1">
      <w:pPr>
        <w:spacing w:before="120" w:line="360" w:lineRule="exact"/>
        <w:ind w:firstLine="720"/>
        <w:jc w:val="both"/>
        <w:rPr>
          <w:sz w:val="28"/>
          <w:szCs w:val="28"/>
          <w:lang w:val="nl-NL"/>
        </w:rPr>
      </w:pPr>
      <w:r w:rsidRPr="00DC7EEB">
        <w:rPr>
          <w:sz w:val="28"/>
          <w:szCs w:val="28"/>
          <w:lang w:val="nl-NL"/>
        </w:rPr>
        <w:t>Thực hiện nhiệm vụ được giao, trên cơ sở Tờ trình</w:t>
      </w:r>
      <w:r w:rsidRPr="00DC7EEB">
        <w:rPr>
          <w:sz w:val="28"/>
          <w:szCs w:val="28"/>
          <w:lang w:val="vi-VN"/>
        </w:rPr>
        <w:t xml:space="preserve"> </w:t>
      </w:r>
      <w:r w:rsidRPr="00DC7EEB">
        <w:rPr>
          <w:sz w:val="28"/>
          <w:szCs w:val="28"/>
          <w:lang w:val="nl-NL"/>
        </w:rPr>
        <w:t>số 792/TTr-CP ngày 19/11/2024 của Chính phủ về Dự án Nghị quyết của Quốc hội về giảm thuế giá trị gia tăng (GTGT) và các tài liệu kèm theo, Thường trực Ủy ban Tài chính, Ngân sách (TCNS) đã có Báo cáo số 2669/BC-UBTCNS15 ngày 22/11/2024 thẩm tra sơ bộ nội dung này, trình Ủy ban Thường vụ Quốc hội (UBTVQH) xem xét, cho ý kiến tại phiên họp ngày 26/11/2024. Trên cơ sở hồ sơ Dự án Nghị quyết, Ủy ban TCNS xin báo cáo Quốc hội ý kiến thẩm tra về nội dung này, cụ thể như sau:</w:t>
      </w:r>
    </w:p>
    <w:p w:rsidR="00A02BF1" w:rsidRPr="00DC7EEB" w:rsidRDefault="00A02BF1" w:rsidP="00A02BF1">
      <w:pPr>
        <w:spacing w:before="120" w:line="360" w:lineRule="exact"/>
        <w:ind w:firstLine="720"/>
        <w:jc w:val="both"/>
        <w:rPr>
          <w:lang w:val="nl-NL"/>
        </w:rPr>
      </w:pPr>
      <w:r w:rsidRPr="00DC7EEB">
        <w:rPr>
          <w:b/>
          <w:lang w:val="nl-NL"/>
        </w:rPr>
        <w:t>I. VỀ NHỮNG VẤN ĐỀ CHUNG</w:t>
      </w:r>
    </w:p>
    <w:p w:rsidR="00A02BF1" w:rsidRPr="00DC7EEB" w:rsidRDefault="00A02BF1" w:rsidP="00A02BF1">
      <w:pPr>
        <w:spacing w:before="120" w:line="360" w:lineRule="exact"/>
        <w:ind w:firstLine="720"/>
        <w:jc w:val="both"/>
        <w:rPr>
          <w:b/>
          <w:sz w:val="28"/>
          <w:szCs w:val="28"/>
          <w:lang w:val="nl-NL"/>
        </w:rPr>
      </w:pPr>
      <w:r w:rsidRPr="00DC7EEB">
        <w:rPr>
          <w:b/>
          <w:sz w:val="28"/>
          <w:szCs w:val="28"/>
          <w:lang w:val="nl-NL"/>
        </w:rPr>
        <w:t>1. Về sự cần thiết ban hành chính sách</w:t>
      </w:r>
    </w:p>
    <w:p w:rsidR="00A02BF1" w:rsidRPr="00DC7EEB" w:rsidRDefault="00A02BF1" w:rsidP="00A02BF1">
      <w:pPr>
        <w:spacing w:before="120" w:line="360" w:lineRule="exact"/>
        <w:ind w:firstLine="720"/>
        <w:jc w:val="both"/>
        <w:rPr>
          <w:b/>
          <w:iCs/>
          <w:sz w:val="28"/>
          <w:szCs w:val="28"/>
          <w:lang w:val="en-GB"/>
        </w:rPr>
      </w:pPr>
      <w:r w:rsidRPr="00DC7EEB">
        <w:rPr>
          <w:sz w:val="28"/>
          <w:szCs w:val="28"/>
          <w:lang w:val="nl-NL"/>
        </w:rPr>
        <w:t>Đa số ý kiến trong Ủy ban TCNS nhất trí</w:t>
      </w:r>
      <w:r w:rsidRPr="00DC7EEB">
        <w:rPr>
          <w:sz w:val="28"/>
          <w:szCs w:val="28"/>
          <w:lang w:val="vi-VN"/>
        </w:rPr>
        <w:t xml:space="preserve"> với</w:t>
      </w:r>
      <w:r w:rsidRPr="00DC7EEB">
        <w:rPr>
          <w:sz w:val="28"/>
          <w:szCs w:val="28"/>
          <w:lang w:val="nl-NL"/>
        </w:rPr>
        <w:t xml:space="preserve"> sự cần thiết ban hành Nghị quyết để tiếp tục áp dụng chính sách giảm thuế GTGT, góp phần giảm </w:t>
      </w:r>
      <w:r w:rsidRPr="00DC7EEB">
        <w:rPr>
          <w:sz w:val="28"/>
          <w:szCs w:val="28"/>
          <w:lang w:val="en-GB"/>
        </w:rPr>
        <w:t xml:space="preserve">giá thành, giá bán hàng hóa, dịch vụ, từ đó có thể </w:t>
      </w:r>
      <w:r w:rsidRPr="00DC7EEB">
        <w:rPr>
          <w:iCs/>
          <w:sz w:val="28"/>
          <w:szCs w:val="28"/>
          <w:lang w:val="vi-VN"/>
        </w:rPr>
        <w:t xml:space="preserve">kích cầu tiêu dùng, </w:t>
      </w:r>
      <w:r w:rsidRPr="00DC7EEB">
        <w:rPr>
          <w:iCs/>
          <w:sz w:val="28"/>
          <w:szCs w:val="28"/>
          <w:lang w:val="en-GB"/>
        </w:rPr>
        <w:t xml:space="preserve">duy trì việc làm cho người lao động, </w:t>
      </w:r>
      <w:r w:rsidRPr="00DC7EEB">
        <w:rPr>
          <w:sz w:val="28"/>
          <w:szCs w:val="28"/>
          <w:lang w:val="nl-NL"/>
        </w:rPr>
        <w:t>hỗ trợ người dân, doanh nghiệp tiếp tục duy trì đà phục hồi và thúc đẩy hoạt động sản xuất, kinh doanh</w:t>
      </w:r>
      <w:r w:rsidRPr="00DC7EEB">
        <w:rPr>
          <w:iCs/>
          <w:sz w:val="28"/>
          <w:szCs w:val="28"/>
          <w:lang w:val="en-GB"/>
        </w:rPr>
        <w:t xml:space="preserve"> để đóng góp trở lại cho ngân sách nhà nước và nền kinh tế.</w:t>
      </w:r>
    </w:p>
    <w:p w:rsidR="00A02BF1" w:rsidRPr="00DC7EEB" w:rsidRDefault="00A02BF1" w:rsidP="00A02BF1">
      <w:pPr>
        <w:spacing w:before="120" w:line="360" w:lineRule="exact"/>
        <w:ind w:firstLine="720"/>
        <w:jc w:val="both"/>
        <w:rPr>
          <w:bCs/>
          <w:iCs/>
          <w:sz w:val="28"/>
          <w:szCs w:val="28"/>
          <w:lang w:val="en-GB"/>
        </w:rPr>
      </w:pPr>
      <w:r w:rsidRPr="00DC7EEB">
        <w:rPr>
          <w:sz w:val="28"/>
          <w:szCs w:val="28"/>
        </w:rPr>
        <w:t>Một số ý kiến không đồng tình với</w:t>
      </w:r>
      <w:r w:rsidRPr="00DC7EEB">
        <w:rPr>
          <w:sz w:val="28"/>
          <w:szCs w:val="28"/>
          <w:lang w:val="vi-VN"/>
        </w:rPr>
        <w:t xml:space="preserve"> việc </w:t>
      </w:r>
      <w:r w:rsidRPr="00DC7EEB">
        <w:rPr>
          <w:sz w:val="28"/>
          <w:szCs w:val="28"/>
          <w:lang w:val="en-GB"/>
        </w:rPr>
        <w:t xml:space="preserve">tiếp tục áp dụng chính sách </w:t>
      </w:r>
      <w:r w:rsidRPr="00DC7EEB">
        <w:rPr>
          <w:sz w:val="28"/>
          <w:szCs w:val="28"/>
          <w:lang w:val="vi-VN"/>
        </w:rPr>
        <w:t>giảm thuế GTGT</w:t>
      </w:r>
      <w:r w:rsidRPr="00DC7EEB">
        <w:rPr>
          <w:sz w:val="28"/>
          <w:szCs w:val="28"/>
          <w:lang w:val="en-GB"/>
        </w:rPr>
        <w:t xml:space="preserve"> và cho rằng, chính sách giảm thuế GTGT đã được ban hành và thực hiện từ năm 2022 trong bối cảnh doanh nghiệp, người dân gặp nhiều khó khăn do đại dịch Covid; việc ban hành và thực hiện chính sách giảm thuế GTGT chỉ nên được coi là giải pháp tình thế trong khoảng thời gian nhất định để hỗ trợ người dân, doanh nghiệp. Đến nay, </w:t>
      </w:r>
      <w:r w:rsidRPr="00DC7EEB">
        <w:rPr>
          <w:bCs/>
          <w:iCs/>
          <w:sz w:val="28"/>
          <w:szCs w:val="28"/>
          <w:lang w:val="vi-VN"/>
        </w:rPr>
        <w:t>khi đại dịch đã kết thúc một thời gian</w:t>
      </w:r>
      <w:r w:rsidRPr="00DC7EEB">
        <w:rPr>
          <w:bCs/>
          <w:iCs/>
          <w:sz w:val="28"/>
          <w:szCs w:val="28"/>
          <w:lang w:val="en-GB"/>
        </w:rPr>
        <w:t xml:space="preserve"> dài,</w:t>
      </w:r>
      <w:r w:rsidRPr="00DC7EEB">
        <w:rPr>
          <w:bCs/>
          <w:iCs/>
          <w:sz w:val="28"/>
          <w:szCs w:val="28"/>
          <w:lang w:val="vi-VN"/>
        </w:rPr>
        <w:t xml:space="preserve"> </w:t>
      </w:r>
      <w:r w:rsidRPr="00DC7EEB">
        <w:rPr>
          <w:bCs/>
          <w:iCs/>
          <w:sz w:val="28"/>
          <w:szCs w:val="28"/>
          <w:lang w:val="en-GB"/>
        </w:rPr>
        <w:t xml:space="preserve">các chính sách ưu đãi về thuế được ban hành để hỗ trợ doanh nghiệp, người dân vượt qua khó khăn sau đại dịch cần được xem xét để thu hẹp diện áp dụng, từng bước để ổn định lại việc thực hiện các chính sách về thuế. Vì vậy, </w:t>
      </w:r>
      <w:r w:rsidRPr="00DC7EEB">
        <w:rPr>
          <w:bCs/>
          <w:iCs/>
          <w:sz w:val="28"/>
          <w:szCs w:val="28"/>
          <w:lang w:val="vi-VN"/>
        </w:rPr>
        <w:t xml:space="preserve">việc tiếp tục </w:t>
      </w:r>
      <w:r w:rsidRPr="00DC7EEB">
        <w:rPr>
          <w:bCs/>
          <w:iCs/>
          <w:sz w:val="28"/>
          <w:szCs w:val="28"/>
          <w:lang w:val="en-GB"/>
        </w:rPr>
        <w:t xml:space="preserve">đề xuất ban hành và thực hiện chính sách </w:t>
      </w:r>
      <w:r w:rsidRPr="00DC7EEB">
        <w:rPr>
          <w:bCs/>
          <w:iCs/>
          <w:sz w:val="28"/>
          <w:szCs w:val="28"/>
          <w:lang w:val="vi-VN"/>
        </w:rPr>
        <w:t xml:space="preserve">giảm thuế GTGT là </w:t>
      </w:r>
      <w:r w:rsidRPr="00DC7EEB">
        <w:rPr>
          <w:bCs/>
          <w:iCs/>
          <w:sz w:val="28"/>
          <w:szCs w:val="28"/>
          <w:lang w:val="en-GB"/>
        </w:rPr>
        <w:t>chưa</w:t>
      </w:r>
      <w:r w:rsidRPr="00DC7EEB">
        <w:rPr>
          <w:bCs/>
          <w:iCs/>
          <w:sz w:val="28"/>
          <w:szCs w:val="28"/>
          <w:lang w:val="vi-VN"/>
        </w:rPr>
        <w:t xml:space="preserve"> thật </w:t>
      </w:r>
      <w:r w:rsidRPr="00DC7EEB">
        <w:rPr>
          <w:bCs/>
          <w:iCs/>
          <w:sz w:val="28"/>
          <w:szCs w:val="28"/>
          <w:lang w:val="en-GB"/>
        </w:rPr>
        <w:t xml:space="preserve">sự </w:t>
      </w:r>
      <w:r w:rsidRPr="00DC7EEB">
        <w:rPr>
          <w:bCs/>
          <w:iCs/>
          <w:sz w:val="28"/>
          <w:szCs w:val="28"/>
          <w:lang w:val="vi-VN"/>
        </w:rPr>
        <w:t xml:space="preserve">phù hợp. </w:t>
      </w:r>
      <w:r w:rsidRPr="00DC7EEB">
        <w:rPr>
          <w:bCs/>
          <w:iCs/>
          <w:sz w:val="28"/>
          <w:szCs w:val="28"/>
          <w:lang w:val="en-GB"/>
        </w:rPr>
        <w:t xml:space="preserve">Đồng thời, Quốc hội đã thông qua Nghị quyết số 159/2024/QH15 về dự toán ngân sách </w:t>
      </w:r>
      <w:r w:rsidRPr="00DC7EEB">
        <w:rPr>
          <w:bCs/>
          <w:iCs/>
          <w:sz w:val="28"/>
          <w:szCs w:val="28"/>
          <w:lang w:val="en-GB"/>
        </w:rPr>
        <w:lastRenderedPageBreak/>
        <w:t>nhà nước (NSNN) năm 2025, do đó, với tác động dự kiến giảm thu NSNN khoảng 26,1 nghìn tỷ đồng từ việc thực hiện chính sách giảm thuế GTGT</w:t>
      </w:r>
      <w:r w:rsidRPr="00DC7EEB">
        <w:rPr>
          <w:bCs/>
          <w:iCs/>
          <w:spacing w:val="-2"/>
          <w:sz w:val="28"/>
          <w:szCs w:val="28"/>
          <w:lang w:val="vi-VN"/>
        </w:rPr>
        <w:t xml:space="preserve"> nhưng chưa được tính đến trong dự toán NSNN</w:t>
      </w:r>
      <w:r w:rsidRPr="00DC7EEB">
        <w:rPr>
          <w:bCs/>
          <w:iCs/>
          <w:spacing w:val="-2"/>
          <w:sz w:val="28"/>
          <w:szCs w:val="28"/>
          <w:lang w:val="en-GB"/>
        </w:rPr>
        <w:t xml:space="preserve"> năm 2025</w:t>
      </w:r>
      <w:r w:rsidRPr="00DC7EEB">
        <w:rPr>
          <w:bCs/>
          <w:iCs/>
          <w:spacing w:val="-2"/>
          <w:sz w:val="28"/>
          <w:szCs w:val="28"/>
          <w:lang w:val="vi-VN"/>
        </w:rPr>
        <w:t xml:space="preserve"> </w:t>
      </w:r>
      <w:r w:rsidRPr="00DC7EEB">
        <w:rPr>
          <w:bCs/>
          <w:iCs/>
          <w:sz w:val="28"/>
          <w:szCs w:val="28"/>
          <w:lang w:val="en-GB"/>
        </w:rPr>
        <w:t>có thể tác động đến việc bảo đảm dự toán thu và bội chi NSNN năm 2025.</w:t>
      </w:r>
    </w:p>
    <w:p w:rsidR="00A02BF1" w:rsidRPr="00DC7EEB" w:rsidRDefault="00A02BF1" w:rsidP="00A02BF1">
      <w:pPr>
        <w:spacing w:before="120" w:line="360" w:lineRule="exact"/>
        <w:ind w:firstLine="720"/>
        <w:jc w:val="both"/>
        <w:rPr>
          <w:bCs/>
          <w:iCs/>
          <w:sz w:val="28"/>
          <w:szCs w:val="28"/>
          <w:lang w:val="en-GB"/>
        </w:rPr>
      </w:pPr>
      <w:r w:rsidRPr="00DC7EEB">
        <w:rPr>
          <w:bCs/>
          <w:iCs/>
          <w:sz w:val="28"/>
          <w:szCs w:val="28"/>
          <w:lang w:val="en-GB"/>
        </w:rPr>
        <w:t>Có ý kiến đề nghị cần trừ khoản giảm thu do áp dụng chính sách trong tổng thu ngân sách cho các địa phương vì trong thời gian qua, việc thực hiện chính sách nhưng không điều chỉnh giảm dự toán thu dẫn đến các địa phương bị mất cân đối trong thu chi ngân sách.</w:t>
      </w:r>
    </w:p>
    <w:p w:rsidR="00A02BF1" w:rsidRPr="00DC7EEB" w:rsidRDefault="00A02BF1" w:rsidP="00A02BF1">
      <w:pPr>
        <w:spacing w:before="120" w:line="360" w:lineRule="exact"/>
        <w:ind w:firstLine="720"/>
        <w:jc w:val="both"/>
        <w:rPr>
          <w:b/>
          <w:sz w:val="28"/>
          <w:szCs w:val="28"/>
          <w:lang w:val="nl-NL"/>
        </w:rPr>
      </w:pPr>
      <w:r w:rsidRPr="00DC7EEB">
        <w:rPr>
          <w:b/>
          <w:sz w:val="28"/>
          <w:szCs w:val="28"/>
          <w:lang w:val="nl-NL"/>
        </w:rPr>
        <w:t>2. Về thẩm quyền ban hành chính sách</w:t>
      </w:r>
    </w:p>
    <w:p w:rsidR="00A02BF1" w:rsidRPr="00DC7EEB" w:rsidRDefault="00A02BF1" w:rsidP="00A02BF1">
      <w:pPr>
        <w:spacing w:before="120" w:line="360" w:lineRule="exact"/>
        <w:ind w:firstLine="720"/>
        <w:jc w:val="both"/>
        <w:rPr>
          <w:sz w:val="28"/>
          <w:szCs w:val="28"/>
          <w:lang w:val="vi-VN"/>
        </w:rPr>
      </w:pPr>
      <w:r w:rsidRPr="00DC7EEB">
        <w:rPr>
          <w:sz w:val="28"/>
          <w:szCs w:val="28"/>
          <w:lang w:val="nl-NL"/>
        </w:rPr>
        <w:t xml:space="preserve">Theo quy định tại Điều 70 Hiến pháp năm 2013, Quốc hội có thẩm quyền </w:t>
      </w:r>
      <w:r w:rsidRPr="00DC7EEB">
        <w:rPr>
          <w:i/>
          <w:sz w:val="28"/>
          <w:szCs w:val="28"/>
          <w:lang w:val="nl-NL"/>
        </w:rPr>
        <w:t>“quy định, sửa đổi hoặc bãi bỏ các thứ thuế”</w:t>
      </w:r>
      <w:r w:rsidRPr="00DC7EEB">
        <w:rPr>
          <w:sz w:val="28"/>
          <w:szCs w:val="28"/>
          <w:lang w:val="nl-NL"/>
        </w:rPr>
        <w:t>. Do đó, việc Chính phủ trình Quốc hội xem xét, ban hành Nghị quyết về giảm thuế GTGT là đúng thẩm quyền theo quy định.</w:t>
      </w:r>
      <w:r w:rsidRPr="00DC7EEB">
        <w:rPr>
          <w:sz w:val="28"/>
          <w:szCs w:val="28"/>
          <w:lang w:val="vi-VN"/>
        </w:rPr>
        <w:t xml:space="preserve"> </w:t>
      </w:r>
    </w:p>
    <w:p w:rsidR="00A02BF1" w:rsidRPr="00DC7EEB" w:rsidRDefault="00A02BF1" w:rsidP="00A02BF1">
      <w:pPr>
        <w:spacing w:before="120" w:line="360" w:lineRule="exact"/>
        <w:ind w:firstLine="720"/>
        <w:jc w:val="both"/>
        <w:rPr>
          <w:b/>
          <w:sz w:val="28"/>
          <w:szCs w:val="28"/>
          <w:lang w:val="en-GB"/>
        </w:rPr>
      </w:pPr>
      <w:r w:rsidRPr="00DC7EEB">
        <w:rPr>
          <w:b/>
          <w:sz w:val="28"/>
          <w:szCs w:val="28"/>
          <w:lang w:val="en-GB"/>
        </w:rPr>
        <w:t>3. Về hình thức ban hành chính sách</w:t>
      </w:r>
    </w:p>
    <w:p w:rsidR="00A02BF1" w:rsidRPr="00DC7EEB" w:rsidRDefault="00A02BF1" w:rsidP="00A02BF1">
      <w:pPr>
        <w:keepNext/>
        <w:spacing w:before="120" w:line="360" w:lineRule="exact"/>
        <w:ind w:firstLine="720"/>
        <w:jc w:val="both"/>
        <w:outlineLvl w:val="0"/>
        <w:rPr>
          <w:sz w:val="28"/>
          <w:szCs w:val="28"/>
          <w:lang w:val="en-GB"/>
        </w:rPr>
      </w:pPr>
      <w:r w:rsidRPr="00DC7EEB">
        <w:rPr>
          <w:sz w:val="28"/>
          <w:szCs w:val="28"/>
          <w:lang w:val="en-GB"/>
        </w:rPr>
        <w:t>Chính phủ trình Quốc hội ban hành Nghị quyết của Quốc hội về giảm thuế GTGT.</w:t>
      </w:r>
    </w:p>
    <w:p w:rsidR="00A02BF1" w:rsidRPr="00DC7EEB" w:rsidRDefault="00A02BF1" w:rsidP="00A02BF1">
      <w:pPr>
        <w:spacing w:before="120" w:line="360" w:lineRule="exact"/>
        <w:ind w:firstLine="720"/>
        <w:jc w:val="both"/>
        <w:rPr>
          <w:sz w:val="28"/>
          <w:szCs w:val="28"/>
          <w:lang w:val="en-GB"/>
        </w:rPr>
      </w:pPr>
      <w:r w:rsidRPr="00DC7EEB">
        <w:rPr>
          <w:sz w:val="28"/>
          <w:szCs w:val="28"/>
          <w:lang w:val="en-GB"/>
        </w:rPr>
        <w:t xml:space="preserve">Ủy ban TCNS </w:t>
      </w:r>
      <w:r w:rsidRPr="00DC7EEB">
        <w:rPr>
          <w:sz w:val="28"/>
          <w:szCs w:val="28"/>
          <w:lang w:val="vi-VN"/>
        </w:rPr>
        <w:t>đề nghị tiếp tục áp dụng hình thức quyết nghị</w:t>
      </w:r>
      <w:r w:rsidRPr="00DC7EEB">
        <w:rPr>
          <w:sz w:val="28"/>
          <w:szCs w:val="28"/>
          <w:lang w:val="en-GB"/>
        </w:rPr>
        <w:t xml:space="preserve"> nội dung này</w:t>
      </w:r>
      <w:r w:rsidRPr="00DC7EEB">
        <w:rPr>
          <w:sz w:val="28"/>
          <w:szCs w:val="28"/>
          <w:lang w:val="vi-VN"/>
        </w:rPr>
        <w:t xml:space="preserve"> trong Nghị quyết chung của kỳ họp</w:t>
      </w:r>
      <w:r w:rsidRPr="00DC7EEB">
        <w:rPr>
          <w:sz w:val="28"/>
          <w:szCs w:val="28"/>
          <w:lang w:val="en-GB"/>
        </w:rPr>
        <w:t>,</w:t>
      </w:r>
      <w:r w:rsidRPr="00DC7EEB">
        <w:rPr>
          <w:sz w:val="28"/>
          <w:szCs w:val="28"/>
          <w:lang w:val="vi-VN"/>
        </w:rPr>
        <w:t xml:space="preserve"> tương tự như các nghị quyết đã </w:t>
      </w:r>
      <w:r w:rsidRPr="00DC7EEB">
        <w:rPr>
          <w:sz w:val="28"/>
          <w:szCs w:val="28"/>
          <w:lang w:val="en-GB"/>
        </w:rPr>
        <w:t xml:space="preserve">được </w:t>
      </w:r>
      <w:r w:rsidRPr="00DC7EEB">
        <w:rPr>
          <w:sz w:val="28"/>
          <w:szCs w:val="28"/>
          <w:lang w:val="vi-VN"/>
        </w:rPr>
        <w:t>ban hành</w:t>
      </w:r>
      <w:r w:rsidRPr="00DC7EEB">
        <w:rPr>
          <w:rStyle w:val="FootnoteReference"/>
          <w:sz w:val="28"/>
          <w:szCs w:val="28"/>
          <w:lang w:val="vi-VN"/>
        </w:rPr>
        <w:footnoteReference w:id="1"/>
      </w:r>
      <w:r w:rsidRPr="00DC7EEB">
        <w:rPr>
          <w:sz w:val="28"/>
          <w:szCs w:val="28"/>
          <w:lang w:val="en-GB"/>
        </w:rPr>
        <w:t>.</w:t>
      </w:r>
    </w:p>
    <w:p w:rsidR="00A02BF1" w:rsidRPr="00DC7EEB" w:rsidRDefault="00A02BF1" w:rsidP="00A02BF1">
      <w:pPr>
        <w:spacing w:before="120" w:line="360" w:lineRule="exact"/>
        <w:ind w:firstLine="720"/>
        <w:jc w:val="both"/>
        <w:rPr>
          <w:b/>
          <w:sz w:val="28"/>
          <w:szCs w:val="28"/>
          <w:lang w:val="nl-NL"/>
        </w:rPr>
      </w:pPr>
      <w:r w:rsidRPr="00DC7EEB">
        <w:rPr>
          <w:b/>
          <w:sz w:val="28"/>
          <w:szCs w:val="28"/>
          <w:lang w:val="en-GB"/>
        </w:rPr>
        <w:t xml:space="preserve">4. </w:t>
      </w:r>
      <w:r w:rsidRPr="00DC7EEB">
        <w:rPr>
          <w:b/>
          <w:sz w:val="28"/>
          <w:szCs w:val="28"/>
          <w:lang w:val="nl-NL"/>
        </w:rPr>
        <w:t>Về hồ sơ và thời hạn gửi hồ sơ dự án Nghị quyết</w:t>
      </w:r>
    </w:p>
    <w:p w:rsidR="00A02BF1" w:rsidRPr="00DC7EEB" w:rsidRDefault="00A02BF1" w:rsidP="00A02BF1">
      <w:pPr>
        <w:spacing w:before="120" w:line="360" w:lineRule="exact"/>
        <w:ind w:firstLine="720"/>
        <w:jc w:val="both"/>
        <w:rPr>
          <w:sz w:val="28"/>
          <w:szCs w:val="28"/>
          <w:lang w:val="nl-NL"/>
        </w:rPr>
      </w:pPr>
      <w:r w:rsidRPr="00DC7EEB">
        <w:rPr>
          <w:sz w:val="28"/>
          <w:szCs w:val="28"/>
          <w:lang w:val="nl-NL"/>
        </w:rPr>
        <w:t>Hồ sơ dự án Nghị quyết đã bao gồm Tờ trình, dự thảo Nghị quyết của Quốc hội, Báo cáo đánh giá tác động của chính sách, Báo cáo tổng kết, đánh giá tình hình thực hiện giảm thuế GTGT,... Tuy nhiên, Hồ sơ Dự án Nghị quyết chưa bao gồm Báo cáo thẩm định của Bộ Tư pháp, Báo cáo tiếp thu, giải trình ý kiến thẩm định của Bộ Tư pháp. Đồng thời, Chính phủ gửi hồ sơ dự án Nghị quyết với thời hạn rất gấp và đề nghị bổ sung nội dung này vào Chương trình Kỳ họp tại thời điểm đang diễn ra Kỳ họp Quốc hội, trong khi đây là chính sách đang được triển khai thực hiện và Nghị quyết số 142/2024/QH15 đã quy định cụ thể về thời gian áp dụng chính sách</w:t>
      </w:r>
      <w:r w:rsidRPr="00DC7EEB">
        <w:rPr>
          <w:rStyle w:val="FootnoteReference"/>
          <w:sz w:val="28"/>
          <w:szCs w:val="28"/>
          <w:lang w:val="nl-NL"/>
        </w:rPr>
        <w:footnoteReference w:id="2"/>
      </w:r>
      <w:r w:rsidRPr="00DC7EEB">
        <w:rPr>
          <w:sz w:val="28"/>
          <w:szCs w:val="28"/>
          <w:lang w:val="nl-NL"/>
        </w:rPr>
        <w:t xml:space="preserve"> nên Chính phủ hoàn toàn có thể chủ động trong việc hoàn thiện hồ sơ Dự án Nghị quyết để trình UBTVQH, Quốc hội theo đúng tiến độ quy định tại Luật Ban hành văn bản quy phạm pháp luật.</w:t>
      </w:r>
    </w:p>
    <w:p w:rsidR="00A02BF1" w:rsidRPr="00DC7EEB" w:rsidRDefault="00A02BF1" w:rsidP="00A02BF1">
      <w:pPr>
        <w:spacing w:before="120" w:line="360" w:lineRule="exact"/>
        <w:ind w:firstLine="720"/>
        <w:jc w:val="both"/>
        <w:rPr>
          <w:b/>
          <w:lang w:val="am-ET"/>
        </w:rPr>
      </w:pPr>
      <w:r w:rsidRPr="00DC7EEB">
        <w:rPr>
          <w:b/>
          <w:lang w:val="am-ET"/>
        </w:rPr>
        <w:lastRenderedPageBreak/>
        <w:t xml:space="preserve">II. </w:t>
      </w:r>
      <w:r w:rsidRPr="00DC7EEB">
        <w:rPr>
          <w:b/>
          <w:lang w:val="en-GB"/>
        </w:rPr>
        <w:t xml:space="preserve">VỀ </w:t>
      </w:r>
      <w:r w:rsidRPr="00DC7EEB">
        <w:rPr>
          <w:b/>
          <w:lang w:val="am-ET"/>
        </w:rPr>
        <w:t>MỘT SỐ NỘI DUNG CỤ THỂ</w:t>
      </w:r>
    </w:p>
    <w:p w:rsidR="00A02BF1" w:rsidRPr="00DC7EEB" w:rsidRDefault="00A02BF1" w:rsidP="00A02BF1">
      <w:pPr>
        <w:spacing w:before="120" w:line="360" w:lineRule="exact"/>
        <w:ind w:firstLine="720"/>
        <w:jc w:val="both"/>
        <w:rPr>
          <w:b/>
          <w:bCs/>
          <w:sz w:val="28"/>
          <w:szCs w:val="28"/>
          <w:lang w:val="en-GB"/>
        </w:rPr>
      </w:pPr>
      <w:r w:rsidRPr="00DC7EEB">
        <w:rPr>
          <w:b/>
          <w:bCs/>
          <w:sz w:val="28"/>
          <w:szCs w:val="28"/>
          <w:lang w:val="nl-NL"/>
        </w:rPr>
        <w:t>1. Về</w:t>
      </w:r>
      <w:r w:rsidRPr="00DC7EEB">
        <w:rPr>
          <w:b/>
          <w:bCs/>
          <w:sz w:val="28"/>
          <w:szCs w:val="28"/>
          <w:lang w:val="vi-VN"/>
        </w:rPr>
        <w:t xml:space="preserve"> phạm vi </w:t>
      </w:r>
      <w:r w:rsidRPr="00DC7EEB">
        <w:rPr>
          <w:b/>
          <w:bCs/>
          <w:sz w:val="28"/>
          <w:szCs w:val="28"/>
          <w:lang w:val="en-GB"/>
        </w:rPr>
        <w:t>điều chỉnh của chính sách</w:t>
      </w:r>
    </w:p>
    <w:p w:rsidR="00A02BF1" w:rsidRPr="00DC7EEB" w:rsidRDefault="00A02BF1" w:rsidP="00A02BF1">
      <w:pPr>
        <w:spacing w:before="120" w:line="360" w:lineRule="exact"/>
        <w:ind w:firstLine="720"/>
        <w:jc w:val="both"/>
        <w:rPr>
          <w:sz w:val="28"/>
          <w:szCs w:val="28"/>
          <w:lang w:val="pt-BR"/>
        </w:rPr>
      </w:pPr>
      <w:r w:rsidRPr="00DC7EEB">
        <w:rPr>
          <w:sz w:val="28"/>
          <w:szCs w:val="28"/>
          <w:lang w:val="en-GB"/>
        </w:rPr>
        <w:t>Chính phủ trình Quốc hội ban hành Nghị quyết về giảm thuế GTGT</w:t>
      </w:r>
      <w:r w:rsidRPr="00DC7EEB">
        <w:rPr>
          <w:sz w:val="28"/>
          <w:szCs w:val="28"/>
          <w:lang w:val="vi-VN"/>
        </w:rPr>
        <w:t xml:space="preserve"> với phạm vi tương tự như các Nghị quyết đã được ban hành</w:t>
      </w:r>
      <w:r w:rsidRPr="00DC7EEB">
        <w:rPr>
          <w:rStyle w:val="FootnoteReference"/>
          <w:sz w:val="28"/>
          <w:szCs w:val="28"/>
          <w:lang w:val="vi-VN"/>
        </w:rPr>
        <w:footnoteReference w:id="3"/>
      </w:r>
      <w:r w:rsidRPr="00DC7EEB">
        <w:rPr>
          <w:sz w:val="28"/>
          <w:szCs w:val="28"/>
          <w:lang w:val="vi-VN"/>
        </w:rPr>
        <w:t>.</w:t>
      </w:r>
    </w:p>
    <w:p w:rsidR="00A02BF1" w:rsidRPr="00DC7EEB" w:rsidRDefault="00A02BF1" w:rsidP="00A02BF1">
      <w:pPr>
        <w:spacing w:before="120" w:line="360" w:lineRule="exact"/>
        <w:ind w:firstLine="720"/>
        <w:jc w:val="both"/>
        <w:rPr>
          <w:bCs/>
          <w:sz w:val="28"/>
          <w:szCs w:val="28"/>
          <w:lang w:val="en-GB"/>
        </w:rPr>
      </w:pPr>
      <w:r w:rsidRPr="00DC7EEB">
        <w:rPr>
          <w:bCs/>
          <w:sz w:val="28"/>
          <w:szCs w:val="28"/>
          <w:lang w:val="nl-NL"/>
        </w:rPr>
        <w:t>Ủy ban TCNS</w:t>
      </w:r>
      <w:r w:rsidRPr="00DC7EEB">
        <w:rPr>
          <w:bCs/>
          <w:sz w:val="28"/>
          <w:szCs w:val="28"/>
          <w:lang w:val="vi-VN"/>
        </w:rPr>
        <w:t xml:space="preserve"> </w:t>
      </w:r>
      <w:r w:rsidRPr="00DC7EEB">
        <w:rPr>
          <w:bCs/>
          <w:sz w:val="28"/>
          <w:szCs w:val="28"/>
          <w:lang w:val="en-GB"/>
        </w:rPr>
        <w:t xml:space="preserve">nhất trí </w:t>
      </w:r>
      <w:r w:rsidRPr="00DC7EEB">
        <w:rPr>
          <w:bCs/>
          <w:sz w:val="28"/>
          <w:szCs w:val="28"/>
          <w:lang w:val="vi-VN"/>
        </w:rPr>
        <w:t>với phạm vi</w:t>
      </w:r>
      <w:r w:rsidRPr="00DC7EEB">
        <w:rPr>
          <w:bCs/>
          <w:sz w:val="28"/>
          <w:szCs w:val="28"/>
          <w:lang w:val="en-GB"/>
        </w:rPr>
        <w:t xml:space="preserve"> áp dụng chính sách theo </w:t>
      </w:r>
      <w:r w:rsidRPr="00DC7EEB">
        <w:rPr>
          <w:bCs/>
          <w:sz w:val="28"/>
          <w:szCs w:val="28"/>
          <w:lang w:val="vi-VN"/>
        </w:rPr>
        <w:t>đề xuất của Chính phủ</w:t>
      </w:r>
      <w:r w:rsidRPr="00DC7EEB">
        <w:rPr>
          <w:bCs/>
          <w:sz w:val="28"/>
          <w:szCs w:val="28"/>
          <w:lang w:val="en-GB"/>
        </w:rPr>
        <w:t xml:space="preserve">. Tuy nhiên, việc ban hành và thực thi chính sách theo </w:t>
      </w:r>
      <w:r w:rsidRPr="00DC7EEB">
        <w:rPr>
          <w:sz w:val="28"/>
          <w:szCs w:val="28"/>
          <w:lang w:val="en-GB"/>
        </w:rPr>
        <w:t xml:space="preserve">Nghị quyết số 110/2023/QH15 ngày 29/11/2023 của Quốc hội đã gặp những khó khăn, vướng mắc nhất định </w:t>
      </w:r>
      <w:r w:rsidRPr="00DC7EEB">
        <w:rPr>
          <w:bCs/>
          <w:sz w:val="28"/>
          <w:szCs w:val="28"/>
          <w:lang w:val="vi-VN"/>
        </w:rPr>
        <w:t>do việc loại trừ</w:t>
      </w:r>
      <w:r w:rsidRPr="00DC7EEB">
        <w:rPr>
          <w:bCs/>
          <w:sz w:val="28"/>
          <w:szCs w:val="28"/>
          <w:lang w:val="en-GB"/>
        </w:rPr>
        <w:t>,</w:t>
      </w:r>
      <w:r w:rsidRPr="00DC7EEB">
        <w:rPr>
          <w:bCs/>
          <w:sz w:val="28"/>
          <w:szCs w:val="28"/>
          <w:lang w:val="vi-VN"/>
        </w:rPr>
        <w:t xml:space="preserve"> không giảm thuế đối với một số nhóm hàng hoá, dịch vụ</w:t>
      </w:r>
      <w:r w:rsidRPr="00DC7EEB">
        <w:rPr>
          <w:bCs/>
          <w:sz w:val="28"/>
          <w:szCs w:val="28"/>
          <w:lang w:val="en-GB"/>
        </w:rPr>
        <w:t xml:space="preserve">. Trong quá trình thẩm tra đề xuất ban hành chính sách của Chính phủ theo </w:t>
      </w:r>
      <w:r w:rsidRPr="00DC7EEB">
        <w:rPr>
          <w:sz w:val="28"/>
          <w:szCs w:val="28"/>
          <w:lang w:val="nl-NL"/>
        </w:rPr>
        <w:t>Tờ trình</w:t>
      </w:r>
      <w:r w:rsidRPr="00DC7EEB">
        <w:rPr>
          <w:sz w:val="28"/>
          <w:szCs w:val="28"/>
          <w:lang w:val="vi-VN"/>
        </w:rPr>
        <w:t xml:space="preserve"> </w:t>
      </w:r>
      <w:r w:rsidRPr="00DC7EEB">
        <w:rPr>
          <w:sz w:val="28"/>
          <w:szCs w:val="28"/>
          <w:lang w:val="nl-NL"/>
        </w:rPr>
        <w:t>số 300/TTr-CP ngày 8/6/2024 của Chính phủ (ban hành chính sách để áp dụng từ ngày 01/7/2024 đến hết ngày 31/12/2024)</w:t>
      </w:r>
      <w:r w:rsidRPr="00DC7EEB">
        <w:rPr>
          <w:bCs/>
          <w:sz w:val="28"/>
          <w:szCs w:val="28"/>
          <w:lang w:val="en-GB"/>
        </w:rPr>
        <w:t>, Ủy ban TCNS đã đề nghị Chính phủ</w:t>
      </w:r>
      <w:r w:rsidRPr="00DC7EEB">
        <w:rPr>
          <w:bCs/>
          <w:sz w:val="28"/>
          <w:szCs w:val="28"/>
          <w:lang w:val="vi-VN"/>
        </w:rPr>
        <w:t xml:space="preserve"> làm rõ</w:t>
      </w:r>
      <w:r w:rsidRPr="00DC7EEB">
        <w:rPr>
          <w:bCs/>
          <w:sz w:val="28"/>
          <w:szCs w:val="28"/>
          <w:lang w:val="en-GB"/>
        </w:rPr>
        <w:t xml:space="preserve"> các </w:t>
      </w:r>
      <w:r w:rsidRPr="00DC7EEB">
        <w:rPr>
          <w:bCs/>
          <w:sz w:val="28"/>
          <w:szCs w:val="28"/>
          <w:lang w:val="vi-VN"/>
        </w:rPr>
        <w:t xml:space="preserve">giải pháp </w:t>
      </w:r>
      <w:r w:rsidRPr="00DC7EEB">
        <w:rPr>
          <w:bCs/>
          <w:sz w:val="28"/>
          <w:szCs w:val="28"/>
          <w:lang w:val="en-GB"/>
        </w:rPr>
        <w:t xml:space="preserve">để </w:t>
      </w:r>
      <w:r w:rsidRPr="00DC7EEB">
        <w:rPr>
          <w:bCs/>
          <w:sz w:val="28"/>
          <w:szCs w:val="28"/>
          <w:lang w:val="vi-VN"/>
        </w:rPr>
        <w:t>xử lý các vướng mắc</w:t>
      </w:r>
      <w:r w:rsidRPr="00DC7EEB">
        <w:rPr>
          <w:bCs/>
          <w:sz w:val="28"/>
          <w:szCs w:val="28"/>
          <w:lang w:val="en-GB"/>
        </w:rPr>
        <w:t>, bất cập</w:t>
      </w:r>
      <w:r w:rsidRPr="00DC7EEB">
        <w:rPr>
          <w:bCs/>
          <w:sz w:val="28"/>
          <w:szCs w:val="28"/>
          <w:lang w:val="vi-VN"/>
        </w:rPr>
        <w:t xml:space="preserve"> này</w:t>
      </w:r>
      <w:r w:rsidRPr="00DC7EEB">
        <w:rPr>
          <w:bCs/>
          <w:sz w:val="28"/>
          <w:szCs w:val="28"/>
          <w:lang w:val="en-GB"/>
        </w:rPr>
        <w:t>, bảo đảm</w:t>
      </w:r>
      <w:r w:rsidRPr="00DC7EEB">
        <w:rPr>
          <w:bCs/>
          <w:sz w:val="28"/>
          <w:szCs w:val="28"/>
          <w:lang w:val="vi-VN"/>
        </w:rPr>
        <w:t xml:space="preserve"> mục tiêu dễ thực hiện và tạo thuận lợi cho người nộp thuế. </w:t>
      </w:r>
      <w:r w:rsidRPr="00DC7EEB">
        <w:rPr>
          <w:bCs/>
          <w:sz w:val="28"/>
          <w:szCs w:val="28"/>
          <w:lang w:val="en-GB"/>
        </w:rPr>
        <w:t>Tuy nhiên, Báo cáo của Chính phủ về đánh giá tình hình thực hiện giảm thuế GTGT theo Nghị quyết số 142/2024/QH15 đã nêu mặc dù đã ban hành các văn bản hướng dẫn thực hiện song vẫn tồn tại các vướng mắc, bất cập này trong quá trình thực hiện chính sách giảm thuế</w:t>
      </w:r>
      <w:r w:rsidRPr="00DC7EEB">
        <w:rPr>
          <w:rStyle w:val="FootnoteReference"/>
          <w:bCs/>
          <w:sz w:val="28"/>
          <w:szCs w:val="28"/>
          <w:lang w:val="en-GB"/>
        </w:rPr>
        <w:footnoteReference w:id="4"/>
      </w:r>
      <w:r w:rsidRPr="00DC7EEB">
        <w:rPr>
          <w:bCs/>
          <w:sz w:val="28"/>
          <w:szCs w:val="28"/>
          <w:lang w:val="en-GB"/>
        </w:rPr>
        <w:t xml:space="preserve">. Một số ý kiến trong Ủy ban TCNS cho rằng, việc chưa có giải pháp để khắc phục triệt để các vướng mắc, bất cập này dẫn đến chính sách được ban hành và thực hiện song chưa thực sự đạt được mục tiêu “đảm bảo dễ thực hiện nhằm tạo thuận lợi cho người nộp thuế” được đề ra trong ban hành chính sách. </w:t>
      </w:r>
    </w:p>
    <w:p w:rsidR="00A02BF1" w:rsidRPr="00DC7EEB" w:rsidRDefault="00A02BF1" w:rsidP="00A02BF1">
      <w:pPr>
        <w:pStyle w:val="ListParagraph"/>
        <w:tabs>
          <w:tab w:val="left" w:pos="709"/>
          <w:tab w:val="left" w:pos="1134"/>
          <w:tab w:val="left" w:pos="1276"/>
        </w:tabs>
        <w:spacing w:before="120" w:after="0" w:line="360" w:lineRule="exact"/>
        <w:ind w:left="0" w:firstLine="720"/>
        <w:jc w:val="both"/>
        <w:rPr>
          <w:rFonts w:ascii="Times New Roman" w:hAnsi="Times New Roman" w:cs="Times New Roman"/>
          <w:b/>
          <w:bCs/>
          <w:sz w:val="28"/>
          <w:szCs w:val="28"/>
          <w:lang w:val="nl-NL"/>
        </w:rPr>
      </w:pPr>
      <w:r w:rsidRPr="00DC7EEB">
        <w:rPr>
          <w:rFonts w:ascii="Times New Roman" w:hAnsi="Times New Roman" w:cs="Times New Roman"/>
          <w:b/>
          <w:bCs/>
          <w:sz w:val="28"/>
          <w:szCs w:val="28"/>
          <w:lang w:val="en-GB"/>
        </w:rPr>
        <w:t>2</w:t>
      </w:r>
      <w:r w:rsidRPr="00DC7EEB">
        <w:rPr>
          <w:rFonts w:ascii="Times New Roman" w:hAnsi="Times New Roman" w:cs="Times New Roman"/>
          <w:b/>
          <w:bCs/>
          <w:sz w:val="28"/>
          <w:szCs w:val="28"/>
          <w:lang w:val="nl-NL"/>
        </w:rPr>
        <w:t>. Về thời hạn áp dụng chính sách</w:t>
      </w:r>
    </w:p>
    <w:p w:rsidR="00A02BF1" w:rsidRPr="00DC7EEB" w:rsidRDefault="00A02BF1" w:rsidP="00A02BF1">
      <w:pPr>
        <w:spacing w:before="120" w:line="360" w:lineRule="exact"/>
        <w:ind w:firstLine="720"/>
        <w:jc w:val="both"/>
        <w:rPr>
          <w:sz w:val="28"/>
          <w:szCs w:val="28"/>
          <w:lang w:val="vi-VN"/>
        </w:rPr>
      </w:pPr>
      <w:r w:rsidRPr="00DC7EEB">
        <w:rPr>
          <w:sz w:val="28"/>
          <w:szCs w:val="28"/>
          <w:lang w:val="sv-SE"/>
        </w:rPr>
        <w:t>Chính phủ đề xuất thời gian</w:t>
      </w:r>
      <w:r w:rsidRPr="00DC7EEB">
        <w:rPr>
          <w:sz w:val="28"/>
          <w:szCs w:val="28"/>
          <w:lang w:val="vi-VN"/>
        </w:rPr>
        <w:t xml:space="preserve"> giảm thuế GTGT</w:t>
      </w:r>
      <w:r w:rsidRPr="00DC7EEB">
        <w:rPr>
          <w:sz w:val="28"/>
          <w:szCs w:val="28"/>
          <w:lang w:val="sv-SE"/>
        </w:rPr>
        <w:t xml:space="preserve"> từ ngày 01/01/2025 đ</w:t>
      </w:r>
      <w:r w:rsidRPr="00DC7EEB">
        <w:rPr>
          <w:sz w:val="28"/>
          <w:szCs w:val="28"/>
          <w:lang w:val="vi-VN"/>
        </w:rPr>
        <w:t>ến</w:t>
      </w:r>
      <w:r w:rsidRPr="00DC7EEB">
        <w:rPr>
          <w:sz w:val="28"/>
          <w:szCs w:val="28"/>
          <w:lang w:val="en-GB"/>
        </w:rPr>
        <w:t xml:space="preserve"> hết ngày</w:t>
      </w:r>
      <w:r w:rsidRPr="00DC7EEB">
        <w:rPr>
          <w:sz w:val="28"/>
          <w:szCs w:val="28"/>
          <w:lang w:val="vi-VN"/>
        </w:rPr>
        <w:t xml:space="preserve"> </w:t>
      </w:r>
      <w:r w:rsidRPr="00DC7EEB">
        <w:rPr>
          <w:sz w:val="28"/>
          <w:szCs w:val="28"/>
          <w:lang w:val="sv-SE"/>
        </w:rPr>
        <w:t>30/6/2025.</w:t>
      </w:r>
      <w:r w:rsidRPr="00DC7EEB">
        <w:rPr>
          <w:sz w:val="28"/>
          <w:szCs w:val="28"/>
          <w:lang w:val="vi-VN"/>
        </w:rPr>
        <w:t xml:space="preserve"> </w:t>
      </w:r>
    </w:p>
    <w:p w:rsidR="00A02BF1" w:rsidRPr="00DC7EEB" w:rsidRDefault="00A02BF1" w:rsidP="00A02BF1">
      <w:pPr>
        <w:spacing w:before="120" w:line="360" w:lineRule="exact"/>
        <w:ind w:firstLine="720"/>
        <w:jc w:val="both"/>
        <w:rPr>
          <w:bCs/>
          <w:sz w:val="28"/>
          <w:szCs w:val="28"/>
          <w:lang w:val="vi-VN"/>
        </w:rPr>
      </w:pPr>
      <w:r w:rsidRPr="00DC7EEB">
        <w:rPr>
          <w:bCs/>
          <w:sz w:val="28"/>
          <w:szCs w:val="28"/>
          <w:lang w:val="nl-NL"/>
        </w:rPr>
        <w:t>Đa số ý kiến trong Ủy ban TCNS</w:t>
      </w:r>
      <w:r w:rsidRPr="00DC7EEB">
        <w:rPr>
          <w:bCs/>
          <w:sz w:val="28"/>
          <w:szCs w:val="28"/>
          <w:lang w:val="vi-VN"/>
        </w:rPr>
        <w:t xml:space="preserve"> </w:t>
      </w:r>
      <w:r w:rsidRPr="00DC7EEB">
        <w:rPr>
          <w:bCs/>
          <w:sz w:val="28"/>
          <w:szCs w:val="28"/>
          <w:lang w:val="nl-NL"/>
        </w:rPr>
        <w:t xml:space="preserve">nhất trí với đề xuất của Chính phủ về việc tiếp tục cho phép áp dụng chính sách </w:t>
      </w:r>
      <w:r w:rsidRPr="00DC7EEB">
        <w:rPr>
          <w:sz w:val="28"/>
          <w:szCs w:val="28"/>
          <w:lang w:val="sv-SE"/>
        </w:rPr>
        <w:t>từ ngày 01/01/2025 đ</w:t>
      </w:r>
      <w:r w:rsidRPr="00DC7EEB">
        <w:rPr>
          <w:sz w:val="28"/>
          <w:szCs w:val="28"/>
          <w:lang w:val="vi-VN"/>
        </w:rPr>
        <w:t>ến</w:t>
      </w:r>
      <w:r w:rsidRPr="00DC7EEB">
        <w:rPr>
          <w:sz w:val="28"/>
          <w:szCs w:val="28"/>
          <w:lang w:val="en-GB"/>
        </w:rPr>
        <w:t xml:space="preserve"> hết ngày</w:t>
      </w:r>
      <w:r w:rsidRPr="00DC7EEB">
        <w:rPr>
          <w:sz w:val="28"/>
          <w:szCs w:val="28"/>
          <w:lang w:val="vi-VN"/>
        </w:rPr>
        <w:t xml:space="preserve"> </w:t>
      </w:r>
      <w:r w:rsidRPr="00DC7EEB">
        <w:rPr>
          <w:sz w:val="28"/>
          <w:szCs w:val="28"/>
          <w:lang w:val="sv-SE"/>
        </w:rPr>
        <w:t>30/6/2025</w:t>
      </w:r>
      <w:r w:rsidRPr="00DC7EEB">
        <w:rPr>
          <w:bCs/>
          <w:sz w:val="28"/>
          <w:szCs w:val="28"/>
          <w:lang w:val="nl-NL"/>
        </w:rPr>
        <w:t>. Tuy nhiên,</w:t>
      </w:r>
      <w:r w:rsidRPr="00DC7EEB">
        <w:rPr>
          <w:bCs/>
          <w:sz w:val="28"/>
          <w:szCs w:val="28"/>
          <w:lang w:val="vi-VN"/>
        </w:rPr>
        <w:t xml:space="preserve"> </w:t>
      </w:r>
      <w:r w:rsidRPr="00DC7EEB">
        <w:rPr>
          <w:bCs/>
          <w:sz w:val="28"/>
          <w:szCs w:val="28"/>
          <w:lang w:val="en-GB"/>
        </w:rPr>
        <w:t xml:space="preserve">một số ý kiến cho rằng, </w:t>
      </w:r>
      <w:r w:rsidRPr="00DC7EEB">
        <w:rPr>
          <w:bCs/>
          <w:sz w:val="28"/>
          <w:szCs w:val="28"/>
          <w:lang w:val="nl-NL"/>
        </w:rPr>
        <w:t xml:space="preserve">việc đề xuất ban hành và thực thi chính sách giảm thuế GTGT trong thời gian qua được thực hiện tương đối ngắn hạn, phần nào thể hiện chất lượng của công tác dự báo và tầm nhìn </w:t>
      </w:r>
      <w:r w:rsidRPr="00DC7EEB">
        <w:rPr>
          <w:bCs/>
          <w:sz w:val="28"/>
          <w:szCs w:val="28"/>
          <w:lang w:val="vi-VN"/>
        </w:rPr>
        <w:t xml:space="preserve">của việc </w:t>
      </w:r>
      <w:r w:rsidRPr="00DC7EEB">
        <w:rPr>
          <w:bCs/>
          <w:sz w:val="28"/>
          <w:szCs w:val="28"/>
          <w:lang w:val="en-GB"/>
        </w:rPr>
        <w:t xml:space="preserve">đề xuất </w:t>
      </w:r>
      <w:r w:rsidRPr="00DC7EEB">
        <w:rPr>
          <w:bCs/>
          <w:sz w:val="28"/>
          <w:szCs w:val="28"/>
          <w:lang w:val="vi-VN"/>
        </w:rPr>
        <w:t>ban hành chính sách, làm</w:t>
      </w:r>
      <w:r w:rsidRPr="00DC7EEB">
        <w:rPr>
          <w:bCs/>
          <w:sz w:val="28"/>
          <w:szCs w:val="28"/>
          <w:lang w:val="nl-NL"/>
        </w:rPr>
        <w:t xml:space="preserve"> ảnh hưởng đến</w:t>
      </w:r>
      <w:r w:rsidRPr="00DC7EEB">
        <w:rPr>
          <w:bCs/>
          <w:sz w:val="28"/>
          <w:szCs w:val="28"/>
          <w:lang w:val="vi-VN"/>
        </w:rPr>
        <w:t xml:space="preserve"> sự</w:t>
      </w:r>
      <w:r w:rsidRPr="00DC7EEB">
        <w:rPr>
          <w:bCs/>
          <w:sz w:val="28"/>
          <w:szCs w:val="28"/>
          <w:lang w:val="nl-NL"/>
        </w:rPr>
        <w:t xml:space="preserve"> chủ động của doanh nghiệp trong hoạch định kế hoạch sản xuất, kinh doanh,... Do đó, để</w:t>
      </w:r>
      <w:r w:rsidRPr="00DC7EEB">
        <w:rPr>
          <w:bCs/>
          <w:sz w:val="28"/>
          <w:szCs w:val="28"/>
          <w:lang w:val="en-GB"/>
        </w:rPr>
        <w:t xml:space="preserve"> hướng tới</w:t>
      </w:r>
      <w:r w:rsidRPr="00DC7EEB">
        <w:rPr>
          <w:bCs/>
          <w:sz w:val="28"/>
          <w:szCs w:val="28"/>
          <w:lang w:val="vi-VN"/>
        </w:rPr>
        <w:t xml:space="preserve"> sự ổn định và tính dự báo của hệ thống chính sách thuế GTGT </w:t>
      </w:r>
      <w:r w:rsidRPr="00DC7EEB">
        <w:rPr>
          <w:bCs/>
          <w:sz w:val="28"/>
          <w:szCs w:val="28"/>
          <w:lang w:val="en-GB"/>
        </w:rPr>
        <w:t xml:space="preserve">đồng thời, </w:t>
      </w:r>
      <w:r w:rsidRPr="00DC7EEB">
        <w:rPr>
          <w:bCs/>
          <w:sz w:val="28"/>
          <w:szCs w:val="28"/>
          <w:lang w:val="vi-VN"/>
        </w:rPr>
        <w:t xml:space="preserve">bảo đảm đồng bộ với hiệu lực </w:t>
      </w:r>
      <w:r w:rsidRPr="00DC7EEB">
        <w:rPr>
          <w:bCs/>
          <w:sz w:val="28"/>
          <w:szCs w:val="28"/>
          <w:lang w:val="vi-VN"/>
        </w:rPr>
        <w:lastRenderedPageBreak/>
        <w:t xml:space="preserve">thi hành dự kiến </w:t>
      </w:r>
      <w:r w:rsidRPr="00DC7EEB">
        <w:rPr>
          <w:bCs/>
          <w:sz w:val="28"/>
          <w:szCs w:val="28"/>
          <w:lang w:val="en-GB"/>
        </w:rPr>
        <w:t>đang được quy định trong dự thảo</w:t>
      </w:r>
      <w:r w:rsidRPr="00DC7EEB">
        <w:rPr>
          <w:bCs/>
          <w:sz w:val="28"/>
          <w:szCs w:val="28"/>
          <w:lang w:val="vi-VN"/>
        </w:rPr>
        <w:t xml:space="preserve"> </w:t>
      </w:r>
      <w:r w:rsidRPr="00DC7EEB">
        <w:rPr>
          <w:bCs/>
          <w:sz w:val="28"/>
          <w:szCs w:val="28"/>
          <w:lang w:val="en-GB"/>
        </w:rPr>
        <w:t>Luật Thuế GTGT (sửa đổi)</w:t>
      </w:r>
      <w:r w:rsidRPr="00DC7EEB">
        <w:rPr>
          <w:bCs/>
          <w:sz w:val="28"/>
          <w:szCs w:val="28"/>
          <w:lang w:val="vi-VN"/>
        </w:rPr>
        <w:t xml:space="preserve">, </w:t>
      </w:r>
      <w:r w:rsidRPr="00DC7EEB">
        <w:rPr>
          <w:bCs/>
          <w:sz w:val="28"/>
          <w:szCs w:val="28"/>
          <w:lang w:val="nl-NL"/>
        </w:rPr>
        <w:t xml:space="preserve">đề nghị Chính phủ </w:t>
      </w:r>
      <w:r w:rsidRPr="00DC7EEB">
        <w:rPr>
          <w:bCs/>
          <w:sz w:val="28"/>
          <w:szCs w:val="28"/>
          <w:lang w:val="vi-VN"/>
        </w:rPr>
        <w:t>bảo đảm thời hạn chấm</w:t>
      </w:r>
      <w:r w:rsidRPr="00DC7EEB">
        <w:rPr>
          <w:sz w:val="28"/>
        </w:rPr>
        <w:t xml:space="preserve"> </w:t>
      </w:r>
      <w:r w:rsidRPr="00DC7EEB">
        <w:rPr>
          <w:bCs/>
          <w:sz w:val="28"/>
          <w:szCs w:val="28"/>
        </w:rPr>
        <w:t>dứt</w:t>
      </w:r>
      <w:r w:rsidRPr="00DC7EEB">
        <w:rPr>
          <w:bCs/>
          <w:sz w:val="28"/>
          <w:szCs w:val="28"/>
          <w:lang w:val="vi-VN"/>
        </w:rPr>
        <w:t xml:space="preserve"> </w:t>
      </w:r>
      <w:r w:rsidRPr="00DC7EEB">
        <w:rPr>
          <w:bCs/>
          <w:sz w:val="28"/>
          <w:szCs w:val="28"/>
          <w:lang w:val="nl-NL"/>
        </w:rPr>
        <w:t>hiệu lực thực hiện của chính sách</w:t>
      </w:r>
      <w:r w:rsidRPr="00DC7EEB">
        <w:rPr>
          <w:bCs/>
          <w:sz w:val="28"/>
          <w:szCs w:val="28"/>
          <w:lang w:val="vi-VN"/>
        </w:rPr>
        <w:t xml:space="preserve"> giảm thuế GTGT như được trình tại kỳ họp này, không tiếp tục đề nghị kéo dài thời gian thực hiện của chính sách.</w:t>
      </w:r>
    </w:p>
    <w:p w:rsidR="00A02BF1" w:rsidRPr="00DC7EEB" w:rsidRDefault="00A02BF1" w:rsidP="00A02BF1">
      <w:pPr>
        <w:spacing w:before="120" w:line="360" w:lineRule="exact"/>
        <w:ind w:firstLine="720"/>
        <w:jc w:val="both"/>
        <w:rPr>
          <w:bCs/>
          <w:sz w:val="28"/>
          <w:szCs w:val="28"/>
        </w:rPr>
      </w:pPr>
      <w:r w:rsidRPr="00DC7EEB">
        <w:rPr>
          <w:bCs/>
          <w:sz w:val="28"/>
          <w:szCs w:val="28"/>
        </w:rPr>
        <w:t>Có ý kiến đề nghị áp dụng chính sách trong năm 2025, bảo đảm chính sách đủ thời hạn để hỗ trợ sản xuất, kinh doanh, tránh việc đề xuất gia hạn chính sách.</w:t>
      </w:r>
    </w:p>
    <w:p w:rsidR="00A02BF1" w:rsidRPr="00DC7EEB" w:rsidRDefault="00A02BF1" w:rsidP="00A02BF1">
      <w:pPr>
        <w:pStyle w:val="ListParagraph"/>
        <w:tabs>
          <w:tab w:val="left" w:pos="993"/>
          <w:tab w:val="left" w:pos="1134"/>
          <w:tab w:val="left" w:pos="1276"/>
        </w:tabs>
        <w:spacing w:before="120" w:after="0" w:line="360" w:lineRule="exact"/>
        <w:ind w:left="0" w:firstLine="720"/>
        <w:jc w:val="both"/>
        <w:rPr>
          <w:rFonts w:ascii="Times New Roman" w:hAnsi="Times New Roman" w:cs="Times New Roman"/>
          <w:b/>
          <w:bCs/>
          <w:sz w:val="24"/>
          <w:szCs w:val="24"/>
          <w:lang w:val="nl-NL"/>
        </w:rPr>
      </w:pPr>
      <w:r w:rsidRPr="00DC7EEB">
        <w:rPr>
          <w:rFonts w:ascii="Times New Roman" w:hAnsi="Times New Roman" w:cs="Times New Roman"/>
          <w:b/>
          <w:bCs/>
          <w:sz w:val="24"/>
          <w:szCs w:val="24"/>
          <w:lang w:val="nl-NL"/>
        </w:rPr>
        <w:t>III. ĐỀ XUẤT CỦA ỦY BAN TCNS</w:t>
      </w:r>
    </w:p>
    <w:p w:rsidR="00A02BF1" w:rsidRPr="00DC7EEB" w:rsidRDefault="00A02BF1" w:rsidP="00A02BF1">
      <w:pPr>
        <w:spacing w:before="120" w:line="360" w:lineRule="exact"/>
        <w:ind w:firstLine="709"/>
        <w:jc w:val="both"/>
        <w:rPr>
          <w:bCs/>
          <w:sz w:val="28"/>
          <w:szCs w:val="28"/>
          <w:lang w:val="vi-VN"/>
        </w:rPr>
      </w:pPr>
      <w:r w:rsidRPr="00DC7EEB">
        <w:rPr>
          <w:bCs/>
          <w:sz w:val="28"/>
          <w:szCs w:val="28"/>
          <w:lang w:val="vi-VN"/>
        </w:rPr>
        <w:t>Đa số ý kiến trong Uỷ ban TCNS</w:t>
      </w:r>
      <w:r w:rsidRPr="00DC7EEB">
        <w:rPr>
          <w:bCs/>
          <w:sz w:val="28"/>
          <w:szCs w:val="28"/>
          <w:lang w:val="en-GB"/>
        </w:rPr>
        <w:t xml:space="preserve"> thống nhất với đề xuất tiếp tục cho phép áp dụng chính sách giảm 2% </w:t>
      </w:r>
      <w:bookmarkStart w:id="0" w:name="_GoBack"/>
      <w:bookmarkEnd w:id="0"/>
      <w:r w:rsidRPr="00DC7EEB">
        <w:rPr>
          <w:bCs/>
          <w:sz w:val="28"/>
          <w:szCs w:val="28"/>
          <w:lang w:val="en-GB"/>
        </w:rPr>
        <w:t>thuế suất thuế GTGT</w:t>
      </w:r>
      <w:r w:rsidRPr="00DC7EEB">
        <w:rPr>
          <w:bCs/>
          <w:sz w:val="28"/>
          <w:szCs w:val="28"/>
          <w:lang w:val="vi-VN"/>
        </w:rPr>
        <w:t xml:space="preserve"> với hình thức và phạm vi </w:t>
      </w:r>
      <w:r w:rsidRPr="00DC7EEB">
        <w:rPr>
          <w:bCs/>
          <w:sz w:val="28"/>
          <w:szCs w:val="28"/>
          <w:lang w:val="en-GB"/>
        </w:rPr>
        <w:t xml:space="preserve">như nội dung thể hiện tại Nghị quyết số 142/2024/QH15 của Quốc hội. </w:t>
      </w:r>
      <w:r w:rsidRPr="00DC7EEB">
        <w:rPr>
          <w:sz w:val="28"/>
          <w:szCs w:val="28"/>
          <w:lang w:val="vi-VN"/>
        </w:rPr>
        <w:t xml:space="preserve">Thời hạn áp dụng </w:t>
      </w:r>
      <w:r w:rsidRPr="00DC7EEB">
        <w:rPr>
          <w:sz w:val="28"/>
          <w:szCs w:val="28"/>
          <w:lang w:val="en-GB"/>
        </w:rPr>
        <w:t xml:space="preserve">chính sách </w:t>
      </w:r>
      <w:r w:rsidRPr="00DC7EEB">
        <w:rPr>
          <w:sz w:val="28"/>
          <w:szCs w:val="28"/>
          <w:lang w:val="sv-SE"/>
        </w:rPr>
        <w:t>từ ngày 01/01/2025 đ</w:t>
      </w:r>
      <w:r w:rsidRPr="00DC7EEB">
        <w:rPr>
          <w:sz w:val="28"/>
          <w:szCs w:val="28"/>
          <w:lang w:val="vi-VN"/>
        </w:rPr>
        <w:t>ến</w:t>
      </w:r>
      <w:r w:rsidRPr="00DC7EEB">
        <w:rPr>
          <w:sz w:val="28"/>
          <w:szCs w:val="28"/>
          <w:lang w:val="en-GB"/>
        </w:rPr>
        <w:t xml:space="preserve"> hết ngày</w:t>
      </w:r>
      <w:r w:rsidRPr="00DC7EEB">
        <w:rPr>
          <w:sz w:val="28"/>
          <w:szCs w:val="28"/>
          <w:lang w:val="vi-VN"/>
        </w:rPr>
        <w:t xml:space="preserve"> </w:t>
      </w:r>
      <w:r w:rsidRPr="00DC7EEB">
        <w:rPr>
          <w:sz w:val="28"/>
          <w:szCs w:val="28"/>
          <w:lang w:val="sv-SE"/>
        </w:rPr>
        <w:t>30/6/2025</w:t>
      </w:r>
      <w:r w:rsidRPr="00DC7EEB">
        <w:rPr>
          <w:bCs/>
          <w:sz w:val="28"/>
          <w:szCs w:val="28"/>
          <w:lang w:val="en-GB"/>
        </w:rPr>
        <w:t xml:space="preserve">. Đồng thời, </w:t>
      </w:r>
      <w:r w:rsidRPr="00DC7EEB">
        <w:rPr>
          <w:bCs/>
          <w:sz w:val="28"/>
          <w:szCs w:val="28"/>
          <w:lang w:val="vi-VN"/>
        </w:rPr>
        <w:t xml:space="preserve">giao Chính phủ </w:t>
      </w:r>
      <w:r w:rsidRPr="00DC7EEB">
        <w:rPr>
          <w:iCs/>
          <w:sz w:val="28"/>
          <w:szCs w:val="28"/>
          <w:lang w:val="vi-VN"/>
        </w:rPr>
        <w:t>tổ chức thực hiện</w:t>
      </w:r>
      <w:r w:rsidRPr="00DC7EEB">
        <w:rPr>
          <w:bCs/>
          <w:sz w:val="28"/>
          <w:szCs w:val="28"/>
          <w:lang w:val="vi-VN"/>
        </w:rPr>
        <w:t xml:space="preserve"> và chịu trách nhiệm bảo đảm nhiệm vụ thu và khả năng cân đối ngân sách trong phạm vi bội chi NSNN </w:t>
      </w:r>
      <w:r w:rsidRPr="00DC7EEB">
        <w:rPr>
          <w:bCs/>
          <w:sz w:val="28"/>
          <w:szCs w:val="28"/>
          <w:lang w:val="en-GB"/>
        </w:rPr>
        <w:t>năm 2025</w:t>
      </w:r>
      <w:r w:rsidRPr="00DC7EEB">
        <w:rPr>
          <w:bCs/>
          <w:sz w:val="28"/>
          <w:szCs w:val="28"/>
          <w:lang w:val="vi-VN"/>
        </w:rPr>
        <w:t xml:space="preserve"> đã được Quốc hội </w:t>
      </w:r>
      <w:r w:rsidRPr="00DC7EEB">
        <w:rPr>
          <w:bCs/>
          <w:sz w:val="28"/>
          <w:szCs w:val="28"/>
          <w:lang w:val="en-GB"/>
        </w:rPr>
        <w:t>quyết định</w:t>
      </w:r>
      <w:r w:rsidRPr="00DC7EEB">
        <w:rPr>
          <w:bCs/>
          <w:sz w:val="28"/>
          <w:szCs w:val="28"/>
          <w:lang w:val="vi-VN"/>
        </w:rPr>
        <w:t>.</w:t>
      </w:r>
    </w:p>
    <w:p w:rsidR="00A02BF1" w:rsidRPr="00DC7EEB" w:rsidRDefault="00A02BF1" w:rsidP="00A02BF1">
      <w:pPr>
        <w:tabs>
          <w:tab w:val="left" w:pos="851"/>
        </w:tabs>
        <w:spacing w:before="120" w:line="380" w:lineRule="exact"/>
        <w:ind w:firstLine="720"/>
        <w:jc w:val="both"/>
        <w:rPr>
          <w:rFonts w:ascii="Times New Roman Bold" w:hAnsi="Times New Roman Bold"/>
          <w:b/>
          <w:sz w:val="26"/>
          <w:szCs w:val="26"/>
        </w:rPr>
      </w:pPr>
      <w:r w:rsidRPr="00DC7EEB">
        <w:rPr>
          <w:rFonts w:ascii="Times New Roman Bold" w:hAnsi="Times New Roman Bold"/>
          <w:b/>
          <w:sz w:val="26"/>
          <w:szCs w:val="26"/>
        </w:rPr>
        <w:t>IV. MỘT SỐ NỘI DUNG ĐỀ NGHỊ ĐẠI BIỂU TẬP TRUNG THẢO LUẬN</w:t>
      </w:r>
    </w:p>
    <w:p w:rsidR="00A02BF1" w:rsidRPr="00DC7EEB" w:rsidRDefault="00A02BF1" w:rsidP="00A02BF1">
      <w:pPr>
        <w:tabs>
          <w:tab w:val="left" w:pos="851"/>
        </w:tabs>
        <w:spacing w:before="120" w:line="380" w:lineRule="exact"/>
        <w:ind w:firstLine="720"/>
        <w:jc w:val="both"/>
        <w:rPr>
          <w:sz w:val="28"/>
          <w:szCs w:val="28"/>
          <w:lang w:val="nl-NL"/>
        </w:rPr>
      </w:pPr>
      <w:r w:rsidRPr="00DC7EEB">
        <w:rPr>
          <w:sz w:val="28"/>
          <w:szCs w:val="28"/>
          <w:lang w:val="nl-NL"/>
        </w:rPr>
        <w:t>Ủy ban TCNS trân trọng đề nghị các vị đại biểu Quốc hội tập trung thảo luận, cho ý kiến về một số nội dung sau:</w:t>
      </w:r>
    </w:p>
    <w:p w:rsidR="00A02BF1" w:rsidRPr="00DC7EEB" w:rsidRDefault="00A02BF1" w:rsidP="00A02BF1">
      <w:pPr>
        <w:tabs>
          <w:tab w:val="left" w:pos="851"/>
        </w:tabs>
        <w:spacing w:before="120" w:line="380" w:lineRule="exact"/>
        <w:ind w:firstLine="720"/>
        <w:jc w:val="both"/>
        <w:rPr>
          <w:sz w:val="28"/>
          <w:szCs w:val="28"/>
          <w:lang w:val="nl-NL"/>
        </w:rPr>
      </w:pPr>
      <w:r w:rsidRPr="00DC7EEB">
        <w:rPr>
          <w:sz w:val="28"/>
          <w:szCs w:val="28"/>
          <w:lang w:val="nl-NL"/>
        </w:rPr>
        <w:t>1. Về sự cần thiết ban hành chính sách.</w:t>
      </w:r>
    </w:p>
    <w:p w:rsidR="00A02BF1" w:rsidRPr="00DC7EEB" w:rsidRDefault="00A02BF1" w:rsidP="00A02BF1">
      <w:pPr>
        <w:tabs>
          <w:tab w:val="left" w:pos="851"/>
        </w:tabs>
        <w:spacing w:before="120" w:line="380" w:lineRule="exact"/>
        <w:ind w:firstLine="720"/>
        <w:jc w:val="both"/>
        <w:rPr>
          <w:sz w:val="28"/>
          <w:szCs w:val="28"/>
          <w:lang w:val="nl-NL"/>
        </w:rPr>
      </w:pPr>
      <w:r w:rsidRPr="00DC7EEB">
        <w:rPr>
          <w:sz w:val="28"/>
          <w:szCs w:val="28"/>
          <w:lang w:val="nl-NL"/>
        </w:rPr>
        <w:t>2. Về hình thức ban hành chính sách.</w:t>
      </w:r>
    </w:p>
    <w:p w:rsidR="00A02BF1" w:rsidRPr="00DC7EEB" w:rsidRDefault="00A02BF1" w:rsidP="00A02BF1">
      <w:pPr>
        <w:tabs>
          <w:tab w:val="left" w:pos="851"/>
        </w:tabs>
        <w:spacing w:before="120" w:line="380" w:lineRule="exact"/>
        <w:ind w:firstLine="720"/>
        <w:jc w:val="both"/>
        <w:rPr>
          <w:sz w:val="28"/>
          <w:szCs w:val="28"/>
          <w:lang w:val="nl-NL"/>
        </w:rPr>
      </w:pPr>
      <w:r w:rsidRPr="00DC7EEB">
        <w:rPr>
          <w:sz w:val="28"/>
          <w:szCs w:val="28"/>
          <w:lang w:val="nl-NL"/>
        </w:rPr>
        <w:t>3. Về phạm vi, thời hạn áp dụng chính sách.</w:t>
      </w:r>
    </w:p>
    <w:p w:rsidR="00A02BF1" w:rsidRPr="00DC7EEB" w:rsidRDefault="00A02BF1" w:rsidP="00A02BF1">
      <w:pPr>
        <w:tabs>
          <w:tab w:val="left" w:pos="851"/>
        </w:tabs>
        <w:spacing w:before="120" w:line="380" w:lineRule="exact"/>
        <w:ind w:firstLine="720"/>
        <w:jc w:val="both"/>
        <w:rPr>
          <w:sz w:val="28"/>
          <w:szCs w:val="28"/>
          <w:lang w:val="nl-NL"/>
        </w:rPr>
      </w:pPr>
      <w:r w:rsidRPr="00DC7EEB">
        <w:rPr>
          <w:sz w:val="28"/>
          <w:szCs w:val="28"/>
          <w:lang w:val="nl-NL"/>
        </w:rPr>
        <w:t>4. Các nội dung khác mà đại biểu Quốc hội quan tâm.</w:t>
      </w:r>
    </w:p>
    <w:p w:rsidR="00A02BF1" w:rsidRPr="00DC7EEB" w:rsidRDefault="00A02BF1" w:rsidP="00A02BF1">
      <w:pPr>
        <w:pStyle w:val="FootnoteText"/>
        <w:tabs>
          <w:tab w:val="left" w:pos="851"/>
          <w:tab w:val="left" w:pos="993"/>
        </w:tabs>
        <w:spacing w:before="120" w:line="360" w:lineRule="exact"/>
        <w:jc w:val="both"/>
        <w:rPr>
          <w:spacing w:val="0"/>
          <w:sz w:val="28"/>
          <w:szCs w:val="28"/>
          <w:lang w:val="nl-NL"/>
        </w:rPr>
      </w:pPr>
      <w:r w:rsidRPr="00DC7EEB">
        <w:rPr>
          <w:spacing w:val="0"/>
          <w:sz w:val="28"/>
          <w:szCs w:val="28"/>
          <w:lang w:val="it-IT"/>
        </w:rPr>
        <w:tab/>
        <w:t xml:space="preserve">Trên đây là Báo cáo thẩm tra </w:t>
      </w:r>
      <w:r w:rsidRPr="00DC7EEB">
        <w:rPr>
          <w:sz w:val="28"/>
          <w:szCs w:val="28"/>
          <w:lang w:val="nl-NL"/>
        </w:rPr>
        <w:t>về dự án Nghị quyết của Quốc hội về giảm thuế giá trị gia tăng</w:t>
      </w:r>
      <w:r w:rsidRPr="00DC7EEB">
        <w:rPr>
          <w:spacing w:val="0"/>
          <w:sz w:val="28"/>
          <w:szCs w:val="28"/>
          <w:lang w:val="it-IT"/>
        </w:rPr>
        <w:t>, Ủy ban Tài chính, Ngân sách trân trọng báo cáo Quốc hội.</w:t>
      </w:r>
    </w:p>
    <w:p w:rsidR="00A02BF1" w:rsidRPr="00DC7EEB" w:rsidRDefault="00A02BF1" w:rsidP="00A02BF1">
      <w:pPr>
        <w:spacing w:before="120" w:line="360" w:lineRule="exact"/>
        <w:ind w:firstLine="720"/>
        <w:jc w:val="both"/>
        <w:rPr>
          <w:bCs/>
          <w:sz w:val="28"/>
          <w:szCs w:val="28"/>
          <w:lang w:val="en-GB"/>
        </w:rPr>
      </w:pPr>
      <w:r w:rsidRPr="00DC7EEB">
        <w:rPr>
          <w:bCs/>
          <w:sz w:val="28"/>
          <w:szCs w:val="28"/>
          <w:lang w:val="en-GB"/>
        </w:rPr>
        <w:t xml:space="preserve"> </w:t>
      </w:r>
    </w:p>
    <w:tbl>
      <w:tblPr>
        <w:tblW w:w="9228" w:type="dxa"/>
        <w:tblLook w:val="01E0" w:firstRow="1" w:lastRow="1" w:firstColumn="1" w:lastColumn="1" w:noHBand="0" w:noVBand="0"/>
      </w:tblPr>
      <w:tblGrid>
        <w:gridCol w:w="3948"/>
        <w:gridCol w:w="5280"/>
      </w:tblGrid>
      <w:tr w:rsidR="00DC7EEB" w:rsidRPr="00DC7EEB" w:rsidTr="00C211AD">
        <w:tc>
          <w:tcPr>
            <w:tcW w:w="3948" w:type="dxa"/>
          </w:tcPr>
          <w:p w:rsidR="00A02BF1" w:rsidRPr="00DC7EEB" w:rsidRDefault="00A02BF1" w:rsidP="00C211AD">
            <w:pPr>
              <w:pStyle w:val="BodyText2"/>
              <w:spacing w:after="0" w:line="240" w:lineRule="auto"/>
              <w:rPr>
                <w:b/>
                <w:i/>
                <w:lang w:val="pl-PL"/>
              </w:rPr>
            </w:pPr>
            <w:r w:rsidRPr="00DC7EEB">
              <w:rPr>
                <w:b/>
                <w:i/>
                <w:lang w:val="pl-PL"/>
              </w:rPr>
              <w:t>Nơi nhận:</w:t>
            </w:r>
          </w:p>
          <w:p w:rsidR="00A02BF1" w:rsidRPr="00DC7EEB" w:rsidRDefault="00A02BF1" w:rsidP="00C211AD">
            <w:pPr>
              <w:pStyle w:val="BodyText2"/>
              <w:spacing w:after="0" w:line="240" w:lineRule="auto"/>
              <w:rPr>
                <w:sz w:val="22"/>
                <w:szCs w:val="22"/>
                <w:lang w:val="en-GB"/>
              </w:rPr>
            </w:pPr>
            <w:r w:rsidRPr="00DC7EEB">
              <w:rPr>
                <w:sz w:val="22"/>
                <w:szCs w:val="22"/>
                <w:lang w:val="pl-PL"/>
              </w:rPr>
              <w:t>- Như trên;</w:t>
            </w:r>
          </w:p>
          <w:p w:rsidR="00A02BF1" w:rsidRPr="00DC7EEB" w:rsidRDefault="00A02BF1" w:rsidP="00C211AD">
            <w:pPr>
              <w:pStyle w:val="BodyText2"/>
              <w:spacing w:after="0" w:line="240" w:lineRule="auto"/>
              <w:rPr>
                <w:sz w:val="22"/>
                <w:szCs w:val="22"/>
                <w:lang w:val="pl-PL"/>
              </w:rPr>
            </w:pPr>
            <w:r w:rsidRPr="00DC7EEB">
              <w:rPr>
                <w:sz w:val="22"/>
                <w:szCs w:val="22"/>
                <w:lang w:val="pl-PL"/>
              </w:rPr>
              <w:t>- TT UBTCNS;</w:t>
            </w:r>
          </w:p>
          <w:p w:rsidR="00A02BF1" w:rsidRPr="00DC7EEB" w:rsidRDefault="00A02BF1" w:rsidP="00C211AD">
            <w:pPr>
              <w:rPr>
                <w:sz w:val="22"/>
                <w:szCs w:val="22"/>
                <w:lang w:val="nl-NL"/>
              </w:rPr>
            </w:pPr>
            <w:r w:rsidRPr="00DC7EEB">
              <w:rPr>
                <w:bCs/>
                <w:iCs/>
                <w:sz w:val="22"/>
                <w:szCs w:val="22"/>
                <w:lang w:val="pl-PL"/>
              </w:rPr>
              <w:t xml:space="preserve">- </w:t>
            </w:r>
            <w:r w:rsidRPr="00DC7EEB">
              <w:rPr>
                <w:sz w:val="22"/>
                <w:szCs w:val="22"/>
                <w:lang w:val="nl-NL"/>
              </w:rPr>
              <w:t>Lãnh đạo Vụ TCNS;</w:t>
            </w:r>
          </w:p>
          <w:p w:rsidR="00A02BF1" w:rsidRPr="00DC7EEB" w:rsidRDefault="00A02BF1" w:rsidP="00C211AD">
            <w:pPr>
              <w:jc w:val="both"/>
              <w:rPr>
                <w:bCs/>
                <w:iCs/>
                <w:sz w:val="22"/>
                <w:szCs w:val="22"/>
                <w:lang w:val="pl-PL"/>
              </w:rPr>
            </w:pPr>
            <w:r w:rsidRPr="00DC7EEB">
              <w:rPr>
                <w:bCs/>
                <w:iCs/>
                <w:sz w:val="22"/>
                <w:szCs w:val="22"/>
                <w:lang w:val="pl-PL"/>
              </w:rPr>
              <w:t>- L</w:t>
            </w:r>
            <w:r w:rsidRPr="00DC7EEB">
              <w:rPr>
                <w:bCs/>
                <w:iCs/>
                <w:sz w:val="22"/>
                <w:szCs w:val="22"/>
                <w:lang w:val="pl-PL"/>
              </w:rPr>
              <w:softHyphen/>
              <w:t>ưu: HC, TCNS.</w:t>
            </w:r>
          </w:p>
          <w:p w:rsidR="00A02BF1" w:rsidRPr="00DC7EEB" w:rsidRDefault="00A02BF1" w:rsidP="00C211AD">
            <w:pPr>
              <w:jc w:val="both"/>
              <w:rPr>
                <w:sz w:val="22"/>
                <w:szCs w:val="22"/>
              </w:rPr>
            </w:pPr>
            <w:r w:rsidRPr="00DC7EEB">
              <w:rPr>
                <w:bCs/>
                <w:iCs/>
                <w:sz w:val="22"/>
                <w:szCs w:val="22"/>
                <w:lang w:val="nl-NL"/>
              </w:rPr>
              <w:t>- E-pas: 112519</w:t>
            </w:r>
          </w:p>
        </w:tc>
        <w:tc>
          <w:tcPr>
            <w:tcW w:w="5280" w:type="dxa"/>
          </w:tcPr>
          <w:p w:rsidR="00A02BF1" w:rsidRPr="00DC7EEB" w:rsidRDefault="00A02BF1" w:rsidP="00C211AD">
            <w:pPr>
              <w:pStyle w:val="1"/>
              <w:spacing w:before="0" w:line="240" w:lineRule="auto"/>
              <w:jc w:val="center"/>
              <w:rPr>
                <w:rFonts w:ascii="Times New Roman" w:hAnsi="Times New Roman"/>
                <w:sz w:val="26"/>
                <w:szCs w:val="26"/>
                <w:lang w:val="am-ET"/>
              </w:rPr>
            </w:pPr>
            <w:r w:rsidRPr="00DC7EEB">
              <w:rPr>
                <w:rFonts w:ascii="Times New Roman" w:hAnsi="Times New Roman"/>
                <w:sz w:val="26"/>
                <w:szCs w:val="26"/>
                <w:lang w:val="am-ET"/>
              </w:rPr>
              <w:t>TM. ỦY BAN TÀI CHÍNH, NGÂN SÁCH</w:t>
            </w:r>
          </w:p>
          <w:p w:rsidR="00A02BF1" w:rsidRPr="00DC7EEB" w:rsidRDefault="00A02BF1" w:rsidP="00C211AD">
            <w:pPr>
              <w:jc w:val="center"/>
              <w:rPr>
                <w:b/>
                <w:sz w:val="26"/>
                <w:szCs w:val="26"/>
                <w:lang w:val="en-GB"/>
              </w:rPr>
            </w:pPr>
            <w:r w:rsidRPr="00DC7EEB">
              <w:rPr>
                <w:b/>
                <w:sz w:val="26"/>
                <w:szCs w:val="26"/>
                <w:lang w:val="en-GB"/>
              </w:rPr>
              <w:t>CHỦ NHIỆM</w:t>
            </w:r>
          </w:p>
          <w:p w:rsidR="000311D9" w:rsidRPr="00DC7EEB" w:rsidRDefault="000311D9" w:rsidP="00C211AD">
            <w:pPr>
              <w:jc w:val="center"/>
              <w:rPr>
                <w:b/>
                <w:sz w:val="26"/>
                <w:szCs w:val="26"/>
                <w:lang w:val="en-GB"/>
              </w:rPr>
            </w:pPr>
          </w:p>
          <w:p w:rsidR="00A02BF1" w:rsidRPr="00DC7EEB" w:rsidRDefault="00A02BF1" w:rsidP="00C211AD">
            <w:pPr>
              <w:jc w:val="center"/>
              <w:rPr>
                <w:b/>
                <w:sz w:val="26"/>
                <w:szCs w:val="26"/>
                <w:lang w:val="en-GB"/>
              </w:rPr>
            </w:pPr>
            <w:r w:rsidRPr="00DC7EEB">
              <w:rPr>
                <w:b/>
                <w:sz w:val="26"/>
                <w:szCs w:val="26"/>
                <w:lang w:val="en-GB"/>
              </w:rPr>
              <w:t>(</w:t>
            </w:r>
            <w:r w:rsidR="000311D9" w:rsidRPr="00DC7EEB">
              <w:rPr>
                <w:b/>
                <w:sz w:val="26"/>
                <w:szCs w:val="26"/>
                <w:lang w:val="en-GB"/>
              </w:rPr>
              <w:t>Đã</w:t>
            </w:r>
            <w:r w:rsidR="000311D9" w:rsidRPr="00DC7EEB">
              <w:rPr>
                <w:b/>
                <w:sz w:val="26"/>
                <w:szCs w:val="26"/>
                <w:lang w:val="vi-VN"/>
              </w:rPr>
              <w:t xml:space="preserve"> ký</w:t>
            </w:r>
            <w:r w:rsidRPr="00DC7EEB">
              <w:rPr>
                <w:b/>
                <w:sz w:val="26"/>
                <w:szCs w:val="26"/>
                <w:lang w:val="en-GB"/>
              </w:rPr>
              <w:t>)</w:t>
            </w:r>
          </w:p>
          <w:p w:rsidR="00A02BF1" w:rsidRPr="00DC7EEB" w:rsidRDefault="00A02BF1" w:rsidP="00C211AD">
            <w:pPr>
              <w:rPr>
                <w:rFonts w:ascii="Nyala" w:hAnsi="Nyala"/>
                <w:b/>
                <w:sz w:val="26"/>
                <w:szCs w:val="26"/>
                <w:lang w:val="am-ET"/>
              </w:rPr>
            </w:pPr>
          </w:p>
          <w:p w:rsidR="00A02BF1" w:rsidRPr="00DC7EEB" w:rsidRDefault="00A02BF1" w:rsidP="00C211AD">
            <w:pPr>
              <w:rPr>
                <w:rFonts w:ascii="Nyala" w:hAnsi="Nyala"/>
                <w:b/>
                <w:sz w:val="26"/>
                <w:szCs w:val="26"/>
                <w:lang w:val="am-ET"/>
              </w:rPr>
            </w:pPr>
          </w:p>
          <w:p w:rsidR="00A02BF1" w:rsidRPr="00DC7EEB" w:rsidRDefault="00A02BF1" w:rsidP="00C211AD">
            <w:pPr>
              <w:jc w:val="center"/>
              <w:rPr>
                <w:b/>
                <w:sz w:val="26"/>
                <w:szCs w:val="26"/>
                <w:lang w:val="am-ET"/>
              </w:rPr>
            </w:pPr>
          </w:p>
          <w:p w:rsidR="00A02BF1" w:rsidRPr="00DC7EEB" w:rsidRDefault="00A02BF1" w:rsidP="00C211AD">
            <w:pPr>
              <w:spacing w:before="120" w:line="380" w:lineRule="exact"/>
              <w:jc w:val="center"/>
              <w:rPr>
                <w:b/>
                <w:sz w:val="28"/>
                <w:szCs w:val="28"/>
              </w:rPr>
            </w:pPr>
            <w:r w:rsidRPr="00DC7EEB">
              <w:rPr>
                <w:b/>
                <w:sz w:val="28"/>
                <w:szCs w:val="26"/>
                <w:lang w:val="en-GB"/>
              </w:rPr>
              <w:t>Lê Quang Mạnh</w:t>
            </w:r>
          </w:p>
        </w:tc>
      </w:tr>
    </w:tbl>
    <w:p w:rsidR="00A02BF1" w:rsidRPr="00DC7EEB" w:rsidRDefault="00A02BF1" w:rsidP="00A02BF1">
      <w:pPr>
        <w:rPr>
          <w:lang w:val="vi-VN"/>
        </w:rPr>
      </w:pPr>
    </w:p>
    <w:p w:rsidR="00A02BF1" w:rsidRPr="00DC7EEB" w:rsidRDefault="00A02BF1" w:rsidP="00A02BF1"/>
    <w:p w:rsidR="00F65E36" w:rsidRPr="00DC7EEB" w:rsidRDefault="00F65E36"/>
    <w:sectPr w:rsidR="00F65E36" w:rsidRPr="00DC7EEB" w:rsidSect="00D734EF">
      <w:headerReference w:type="even" r:id="rId6"/>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B86" w:rsidRDefault="00E57B86" w:rsidP="00A02BF1">
      <w:r>
        <w:separator/>
      </w:r>
    </w:p>
  </w:endnote>
  <w:endnote w:type="continuationSeparator" w:id="0">
    <w:p w:rsidR="00E57B86" w:rsidRDefault="00E57B86" w:rsidP="00A0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B77" w:rsidRDefault="00E57B86" w:rsidP="00EB5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B77" w:rsidRDefault="00E57B86" w:rsidP="00EB5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821" w:rsidRDefault="00E57B86">
    <w:pPr>
      <w:pStyle w:val="Footer"/>
      <w:jc w:val="right"/>
    </w:pPr>
  </w:p>
  <w:p w:rsidR="00EB5B77" w:rsidRDefault="00E57B86">
    <w:pPr>
      <w:pStyle w:val="Footer"/>
      <w:jc w:val="right"/>
    </w:pPr>
    <w:r>
      <w:fldChar w:fldCharType="begin"/>
    </w:r>
    <w:r>
      <w:instrText xml:space="preserve"> PAGE   \* MERGEFORMAT </w:instrText>
    </w:r>
    <w:r>
      <w:fldChar w:fldCharType="separate"/>
    </w:r>
    <w:r>
      <w:rPr>
        <w:noProof/>
      </w:rPr>
      <w:t>4</w:t>
    </w:r>
    <w:r>
      <w:fldChar w:fldCharType="end"/>
    </w:r>
  </w:p>
  <w:p w:rsidR="00EB5B77" w:rsidRDefault="00E57B86" w:rsidP="00EB5B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B86" w:rsidRDefault="00E57B86" w:rsidP="00A02BF1">
      <w:r>
        <w:separator/>
      </w:r>
    </w:p>
  </w:footnote>
  <w:footnote w:type="continuationSeparator" w:id="0">
    <w:p w:rsidR="00E57B86" w:rsidRDefault="00E57B86" w:rsidP="00A02BF1">
      <w:r>
        <w:continuationSeparator/>
      </w:r>
    </w:p>
  </w:footnote>
  <w:footnote w:id="1">
    <w:p w:rsidR="00A02BF1" w:rsidRPr="007729FF" w:rsidRDefault="00A02BF1" w:rsidP="00A02BF1">
      <w:pPr>
        <w:jc w:val="both"/>
        <w:rPr>
          <w:sz w:val="20"/>
          <w:szCs w:val="20"/>
          <w:lang w:val="vi-VN"/>
        </w:rPr>
      </w:pPr>
      <w:r w:rsidRPr="007729FF">
        <w:rPr>
          <w:rStyle w:val="FootnoteReference"/>
          <w:sz w:val="20"/>
          <w:szCs w:val="20"/>
        </w:rPr>
        <w:footnoteRef/>
      </w:r>
      <w:r w:rsidRPr="007729FF">
        <w:rPr>
          <w:sz w:val="20"/>
          <w:szCs w:val="20"/>
        </w:rPr>
        <w:t xml:space="preserve"> </w:t>
      </w:r>
      <w:r w:rsidRPr="007729FF">
        <w:rPr>
          <w:sz w:val="20"/>
          <w:szCs w:val="20"/>
          <w:lang w:val="en-GB"/>
        </w:rPr>
        <w:t>Nghị quyết số 101/2023/QH15 về Kỳ họp thứ 5, Quốc hội khóa XV</w:t>
      </w:r>
      <w:r w:rsidRPr="007729FF">
        <w:rPr>
          <w:sz w:val="20"/>
          <w:szCs w:val="20"/>
          <w:lang w:val="vi-VN"/>
        </w:rPr>
        <w:t xml:space="preserve"> -</w:t>
      </w:r>
      <w:r w:rsidRPr="007729FF">
        <w:rPr>
          <w:sz w:val="20"/>
          <w:szCs w:val="20"/>
          <w:lang w:val="en-GB"/>
        </w:rPr>
        <w:t xml:space="preserve"> </w:t>
      </w:r>
      <w:r w:rsidRPr="007729FF">
        <w:rPr>
          <w:sz w:val="20"/>
          <w:szCs w:val="20"/>
        </w:rPr>
        <w:t>áp dụng chính sách giảm thuế GTGT từ ngày 01/7/2023 đến hết ngày 31/12/2023</w:t>
      </w:r>
      <w:r w:rsidRPr="007729FF">
        <w:rPr>
          <w:sz w:val="20"/>
          <w:szCs w:val="20"/>
          <w:lang w:val="vi-VN"/>
        </w:rPr>
        <w:t>;</w:t>
      </w:r>
      <w:r w:rsidRPr="007729FF">
        <w:rPr>
          <w:sz w:val="20"/>
          <w:szCs w:val="20"/>
          <w:lang w:val="en-GB"/>
        </w:rPr>
        <w:t xml:space="preserve"> Nghị quyết số 110/2023/QH15 về Kỳ họp thứ 6, Quốc hội khóa XV </w:t>
      </w:r>
      <w:r w:rsidRPr="007729FF">
        <w:rPr>
          <w:sz w:val="20"/>
          <w:szCs w:val="20"/>
          <w:lang w:val="vi-VN"/>
        </w:rPr>
        <w:t xml:space="preserve">- </w:t>
      </w:r>
      <w:r w:rsidRPr="007729FF">
        <w:rPr>
          <w:sz w:val="20"/>
          <w:szCs w:val="20"/>
        </w:rPr>
        <w:t>áp dụng chính sách giảm thuế GTGT từ ngày 01/01/2024 đến hết ngày 30/6/2024</w:t>
      </w:r>
      <w:r w:rsidRPr="007729FF">
        <w:rPr>
          <w:sz w:val="20"/>
          <w:szCs w:val="20"/>
          <w:lang w:val="en-GB"/>
        </w:rPr>
        <w:t>; Nghị quyết số 142/2024/QH15 về Kỳ họp thứ 7, Quốc hội khóa XV - áp dụng chính sách giảm thuế GTGT từ ngày 01/7/2024 đến hết ngày 31/12/2024.</w:t>
      </w:r>
    </w:p>
  </w:footnote>
  <w:footnote w:id="2">
    <w:p w:rsidR="00A02BF1" w:rsidRPr="007729FF" w:rsidRDefault="00A02BF1" w:rsidP="00A02BF1">
      <w:pPr>
        <w:pStyle w:val="FootnoteText"/>
        <w:jc w:val="both"/>
        <w:rPr>
          <w:lang w:val="en-GB"/>
        </w:rPr>
      </w:pPr>
      <w:r w:rsidRPr="007729FF">
        <w:rPr>
          <w:rStyle w:val="FootnoteReference"/>
        </w:rPr>
        <w:footnoteRef/>
      </w:r>
      <w:r w:rsidRPr="007729FF">
        <w:t xml:space="preserve"> Áp dụng chính sách giảm thuế GTGT “trong thời gian từ ngày 01/7/2024 đến hết ngày 31/12/2024”.</w:t>
      </w:r>
    </w:p>
  </w:footnote>
  <w:footnote w:id="3">
    <w:p w:rsidR="00A02BF1" w:rsidRPr="007729FF" w:rsidRDefault="00A02BF1" w:rsidP="00A02BF1">
      <w:pPr>
        <w:pStyle w:val="FootnoteText"/>
        <w:jc w:val="both"/>
        <w:rPr>
          <w:lang w:val="en-GB"/>
        </w:rPr>
      </w:pPr>
      <w:r w:rsidRPr="007729FF">
        <w:rPr>
          <w:rStyle w:val="FootnoteReference"/>
        </w:rPr>
        <w:footnoteRef/>
      </w:r>
      <w:r w:rsidRPr="007729FF">
        <w:t xml:space="preserve"> </w:t>
      </w:r>
      <w:r w:rsidRPr="007729FF">
        <w:rPr>
          <w:lang w:val="vi-VN"/>
        </w:rPr>
        <w:t>C</w:t>
      </w:r>
      <w:r w:rsidRPr="007729FF">
        <w:rPr>
          <w:lang w:val="en-GB"/>
        </w:rPr>
        <w:t xml:space="preserve">ụ thể: </w:t>
      </w:r>
      <w:r w:rsidRPr="007729FF">
        <w:rPr>
          <w:lang w:val="vi-VN"/>
        </w:rPr>
        <w:t>“</w:t>
      </w:r>
      <w:r w:rsidRPr="007729FF">
        <w:rPr>
          <w:bCs/>
          <w:i/>
          <w:lang w:val="nl-NL"/>
        </w:rPr>
        <w:t>G</w:t>
      </w:r>
      <w:r w:rsidRPr="007729FF">
        <w:rPr>
          <w:i/>
          <w:lang w:val="pt-BR"/>
        </w:rPr>
        <w:t xml:space="preserve">iảm 2% thuế </w:t>
      </w:r>
      <w:r w:rsidRPr="007729FF">
        <w:rPr>
          <w:bCs/>
          <w:i/>
          <w:lang w:val="nl-NL"/>
        </w:rPr>
        <w:t xml:space="preserve">suất thuế </w:t>
      </w:r>
      <w:r w:rsidRPr="007729FF">
        <w:rPr>
          <w:i/>
          <w:lang w:val="pt-BR"/>
        </w:rPr>
        <w:t>GTGT, áp dụng đối với các nhóm hàng hóa, dịch vụ đang áp dụng mức thuế suất 10% (còn 8%)</w:t>
      </w:r>
      <w:r w:rsidRPr="007729FF">
        <w:rPr>
          <w:bCs/>
          <w:i/>
          <w:lang w:val="nl-NL"/>
        </w:rPr>
        <w:t xml:space="preserve">, </w:t>
      </w:r>
      <w:r w:rsidRPr="007729FF">
        <w:rPr>
          <w:i/>
          <w:lang w:val="pt-BR"/>
        </w:rPr>
        <w:t>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r w:rsidRPr="007729FF">
        <w:rPr>
          <w:i/>
          <w:lang w:val="vi-VN"/>
        </w:rPr>
        <w:t>”</w:t>
      </w:r>
      <w:r w:rsidRPr="007729FF">
        <w:rPr>
          <w:i/>
          <w:lang w:val="en-GB"/>
        </w:rPr>
        <w:t>.</w:t>
      </w:r>
    </w:p>
  </w:footnote>
  <w:footnote w:id="4">
    <w:p w:rsidR="00A02BF1" w:rsidRPr="007729FF" w:rsidRDefault="00A02BF1" w:rsidP="00A02BF1">
      <w:pPr>
        <w:pStyle w:val="FootnoteText"/>
        <w:jc w:val="both"/>
        <w:rPr>
          <w:lang w:val="en-GB"/>
        </w:rPr>
      </w:pPr>
      <w:r w:rsidRPr="007729FF">
        <w:rPr>
          <w:rStyle w:val="FootnoteReference"/>
        </w:rPr>
        <w:footnoteRef/>
      </w:r>
      <w:r w:rsidRPr="007729FF">
        <w:t xml:space="preserve"> </w:t>
      </w:r>
      <w:r w:rsidRPr="007729FF">
        <w:rPr>
          <w:lang w:val="en-GB"/>
        </w:rPr>
        <w:t>Trong quá trình thực hiện vẫn phát sinh một số vướng mắc về việc xác định: một số hàng hóa, dịch vụ không được giảm thuế GTGT; một số hàng hóa, dịch vụ được giảm thuế GTGT; việc áp dụng giảm thuế GTGT chưa được thống nhất tại khâu nhập khẩu và sản xuất, tiêu dùng đối với một số hàng hóa, dịch vụ,…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B77" w:rsidRDefault="00E57B86" w:rsidP="00EB5B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5B77" w:rsidRDefault="00E57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B77" w:rsidRDefault="00E57B86" w:rsidP="00EB5B77">
    <w:pPr>
      <w:pStyle w:val="Header"/>
      <w:framePr w:wrap="around" w:vAnchor="text" w:hAnchor="margin" w:xAlign="center" w:y="1"/>
      <w:rPr>
        <w:rStyle w:val="PageNumber"/>
      </w:rPr>
    </w:pPr>
  </w:p>
  <w:p w:rsidR="00EB5B77" w:rsidRDefault="00E57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F1"/>
    <w:rsid w:val="000311D9"/>
    <w:rsid w:val="00A02BF1"/>
    <w:rsid w:val="00B01B2E"/>
    <w:rsid w:val="00DB10D9"/>
    <w:rsid w:val="00DC7EEB"/>
    <w:rsid w:val="00E57B86"/>
    <w:rsid w:val="00F6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22FE"/>
  <w15:chartTrackingRefBased/>
  <w15:docId w15:val="{A5CE8BD2-AD11-40AC-8CDB-B8F1E2C4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B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qFormat/>
    <w:rsid w:val="00A02BF1"/>
    <w:rPr>
      <w:spacing w:val="-4"/>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qFormat/>
    <w:rsid w:val="00A02BF1"/>
    <w:rPr>
      <w:rFonts w:ascii="Times New Roman" w:eastAsia="Times New Roman" w:hAnsi="Times New Roman" w:cs="Times New Roman"/>
      <w:spacing w:val="-4"/>
      <w:sz w:val="20"/>
      <w:szCs w:val="20"/>
      <w:lang w:val="en-US"/>
    </w:rPr>
  </w:style>
  <w:style w:type="character" w:styleId="FootnoteReference">
    <w:name w:val="footnote reference"/>
    <w:aliases w:val="Footnote,BearingPoint,Ref,de nota al pie,ftref,BVI fnr,Footnote text,16 Point,Superscript 6 Point,fr,Footnote Text1,Footnote + Arial,10 pt,Black,Footnote Text11,(NECG) Footnote Reference,footnote ref,Footnote dich,SUPERS, BVI fn"/>
    <w:link w:val="CarattereCarattereCharCharCharCharCharCharZchn"/>
    <w:qFormat/>
    <w:rsid w:val="00A02BF1"/>
    <w:rPr>
      <w:vertAlign w:val="superscript"/>
    </w:rPr>
  </w:style>
  <w:style w:type="paragraph" w:styleId="Header">
    <w:name w:val="header"/>
    <w:basedOn w:val="Normal"/>
    <w:link w:val="HeaderChar"/>
    <w:rsid w:val="00A02BF1"/>
    <w:pPr>
      <w:tabs>
        <w:tab w:val="center" w:pos="4320"/>
        <w:tab w:val="right" w:pos="8640"/>
      </w:tabs>
    </w:pPr>
    <w:rPr>
      <w:spacing w:val="-4"/>
      <w:sz w:val="28"/>
      <w:szCs w:val="28"/>
    </w:rPr>
  </w:style>
  <w:style w:type="character" w:customStyle="1" w:styleId="HeaderChar">
    <w:name w:val="Header Char"/>
    <w:basedOn w:val="DefaultParagraphFont"/>
    <w:link w:val="Header"/>
    <w:rsid w:val="00A02BF1"/>
    <w:rPr>
      <w:rFonts w:ascii="Times New Roman" w:eastAsia="Times New Roman" w:hAnsi="Times New Roman" w:cs="Times New Roman"/>
      <w:spacing w:val="-4"/>
      <w:sz w:val="28"/>
      <w:szCs w:val="28"/>
      <w:lang w:val="en-US"/>
    </w:rPr>
  </w:style>
  <w:style w:type="character" w:styleId="PageNumber">
    <w:name w:val="page number"/>
    <w:basedOn w:val="DefaultParagraphFont"/>
    <w:rsid w:val="00A02BF1"/>
  </w:style>
  <w:style w:type="paragraph" w:styleId="ListParagraph">
    <w:name w:val="List Paragraph"/>
    <w:basedOn w:val="Normal"/>
    <w:uiPriority w:val="34"/>
    <w:qFormat/>
    <w:rsid w:val="00A02BF1"/>
    <w:pPr>
      <w:spacing w:after="200" w:line="276" w:lineRule="auto"/>
      <w:ind w:left="720"/>
    </w:pPr>
    <w:rPr>
      <w:rFonts w:ascii="Calibri" w:eastAsia="Calibri" w:hAnsi="Calibri" w:cs="Calibri"/>
      <w:sz w:val="22"/>
      <w:szCs w:val="22"/>
    </w:rPr>
  </w:style>
  <w:style w:type="paragraph" w:styleId="Footer">
    <w:name w:val="footer"/>
    <w:basedOn w:val="Normal"/>
    <w:link w:val="FooterChar"/>
    <w:uiPriority w:val="99"/>
    <w:rsid w:val="00A02BF1"/>
    <w:pPr>
      <w:tabs>
        <w:tab w:val="center" w:pos="4320"/>
        <w:tab w:val="right" w:pos="8640"/>
      </w:tabs>
    </w:pPr>
  </w:style>
  <w:style w:type="character" w:customStyle="1" w:styleId="FooterChar">
    <w:name w:val="Footer Char"/>
    <w:basedOn w:val="DefaultParagraphFont"/>
    <w:link w:val="Footer"/>
    <w:uiPriority w:val="99"/>
    <w:rsid w:val="00A02BF1"/>
    <w:rPr>
      <w:rFonts w:ascii="Times New Roman" w:eastAsia="Times New Roman" w:hAnsi="Times New Roman" w:cs="Times New Roman"/>
      <w:sz w:val="24"/>
      <w:szCs w:val="24"/>
      <w:lang w:val="en-US"/>
    </w:rPr>
  </w:style>
  <w:style w:type="paragraph" w:styleId="BodyText2">
    <w:name w:val="Body Text 2"/>
    <w:basedOn w:val="Normal"/>
    <w:link w:val="BodyText2Char"/>
    <w:rsid w:val="00A02BF1"/>
    <w:pPr>
      <w:spacing w:after="120" w:line="480" w:lineRule="auto"/>
    </w:pPr>
  </w:style>
  <w:style w:type="character" w:customStyle="1" w:styleId="BodyText2Char">
    <w:name w:val="Body Text 2 Char"/>
    <w:basedOn w:val="DefaultParagraphFont"/>
    <w:link w:val="BodyText2"/>
    <w:rsid w:val="00A02BF1"/>
    <w:rPr>
      <w:rFonts w:ascii="Times New Roman" w:eastAsia="Times New Roman" w:hAnsi="Times New Roman" w:cs="Times New Roman"/>
      <w:sz w:val="24"/>
      <w:szCs w:val="24"/>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A02BF1"/>
    <w:pPr>
      <w:ind w:left="153" w:hanging="153"/>
      <w:jc w:val="both"/>
    </w:pPr>
    <w:rPr>
      <w:rFonts w:asciiTheme="minorHAnsi" w:eastAsiaTheme="minorHAnsi" w:hAnsiTheme="minorHAnsi" w:cstheme="minorBidi"/>
      <w:sz w:val="22"/>
      <w:szCs w:val="22"/>
      <w:vertAlign w:val="superscript"/>
      <w:lang w:val="en-GB"/>
    </w:rPr>
  </w:style>
  <w:style w:type="paragraph" w:customStyle="1" w:styleId="1">
    <w:name w:val="1"/>
    <w:basedOn w:val="Normal"/>
    <w:rsid w:val="00A02BF1"/>
    <w:pPr>
      <w:spacing w:before="120" w:line="360" w:lineRule="auto"/>
      <w:jc w:val="both"/>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3FBCB-CDCB-4D14-BA3F-EC0A63F242E4}"/>
</file>

<file path=customXml/itemProps2.xml><?xml version="1.0" encoding="utf-8"?>
<ds:datastoreItem xmlns:ds="http://schemas.openxmlformats.org/officeDocument/2006/customXml" ds:itemID="{465B5817-745D-4A4A-B14C-33F2DDDF8599}"/>
</file>

<file path=customXml/itemProps3.xml><?xml version="1.0" encoding="utf-8"?>
<ds:datastoreItem xmlns:ds="http://schemas.openxmlformats.org/officeDocument/2006/customXml" ds:itemID="{8BF758D9-8C24-41E5-BFF0-0FF340AA2200}"/>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2024-11-27T10:41:00Z</dcterms:created>
  <dcterms:modified xsi:type="dcterms:W3CDTF">2024-11-27T10:42:00Z</dcterms:modified>
</cp:coreProperties>
</file>